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BEB3" w14:textId="74DE62A0" w:rsidR="00644263" w:rsidRDefault="00046A23" w:rsidP="00917BD5">
      <w:pPr>
        <w:spacing w:line="240" w:lineRule="auto"/>
        <w:jc w:val="center"/>
        <w:rPr>
          <w:rFonts w:cstheme="minorHAnsi"/>
          <w:b/>
          <w:sz w:val="32"/>
        </w:rPr>
      </w:pPr>
      <w:bookmarkStart w:id="0" w:name="_GoBack"/>
      <w:bookmarkEnd w:id="0"/>
      <w:r>
        <w:rPr>
          <w:rFonts w:cstheme="minorHAnsi"/>
          <w:noProof/>
          <w:lang w:eastAsia="en-GB"/>
        </w:rPr>
        <w:drawing>
          <wp:inline distT="0" distB="0" distL="0" distR="0" wp14:anchorId="35635258" wp14:editId="3B4A12DD">
            <wp:extent cx="1829669" cy="104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875231" cy="1074060"/>
                    </a:xfrm>
                    <a:prstGeom prst="rect">
                      <a:avLst/>
                    </a:prstGeom>
                  </pic:spPr>
                </pic:pic>
              </a:graphicData>
            </a:graphic>
          </wp:inline>
        </w:drawing>
      </w:r>
    </w:p>
    <w:p w14:paraId="127A8B30" w14:textId="77777777" w:rsidR="00224706" w:rsidRPr="00D7267F" w:rsidRDefault="00224706" w:rsidP="00917BD5">
      <w:pPr>
        <w:spacing w:line="240" w:lineRule="auto"/>
        <w:jc w:val="center"/>
        <w:rPr>
          <w:rFonts w:cstheme="minorHAnsi"/>
          <w:b/>
          <w:sz w:val="32"/>
        </w:rPr>
      </w:pPr>
    </w:p>
    <w:p w14:paraId="1C6B946F" w14:textId="7DAFAE25" w:rsidR="00974FA1" w:rsidRDefault="005259E4" w:rsidP="006F7AE2">
      <w:pPr>
        <w:spacing w:line="240" w:lineRule="auto"/>
        <w:jc w:val="center"/>
        <w:rPr>
          <w:rFonts w:cstheme="minorHAnsi"/>
          <w:color w:val="FF0000"/>
        </w:rPr>
      </w:pPr>
      <w:r w:rsidRPr="005259E4">
        <w:rPr>
          <w:rFonts w:cstheme="minorHAnsi"/>
          <w:b/>
          <w:sz w:val="32"/>
        </w:rPr>
        <w:t>Personal, Social, Health Education</w:t>
      </w:r>
      <w:r>
        <w:rPr>
          <w:rFonts w:cstheme="minorHAnsi"/>
          <w:b/>
          <w:sz w:val="32"/>
        </w:rPr>
        <w:t xml:space="preserve"> and </w:t>
      </w:r>
      <w:r w:rsidRPr="005259E4">
        <w:rPr>
          <w:rFonts w:cstheme="minorHAnsi"/>
          <w:b/>
          <w:sz w:val="32"/>
        </w:rPr>
        <w:t xml:space="preserve">Relationships Sex and Health </w:t>
      </w:r>
    </w:p>
    <w:p w14:paraId="3228C2EA" w14:textId="662A34C6" w:rsidR="00974FA1" w:rsidRPr="007A2039" w:rsidRDefault="00974FA1" w:rsidP="00917BD5">
      <w:pPr>
        <w:spacing w:line="240" w:lineRule="auto"/>
        <w:rPr>
          <w:rFonts w:cstheme="minorHAnsi"/>
          <w:color w:val="FF0000"/>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EE3507" w14:textId="77777777" w:rsidR="007C2554"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p>
          <w:p w14:paraId="506261D4" w14:textId="44753339" w:rsidR="009B041F" w:rsidRPr="007C2554" w:rsidRDefault="007C2554" w:rsidP="00917BD5">
            <w:pPr>
              <w:pStyle w:val="BodyText"/>
              <w:pBdr>
                <w:top w:val="none" w:sz="0" w:space="0" w:color="auto"/>
              </w:pBdr>
              <w:rPr>
                <w:rFonts w:asciiTheme="minorHAnsi" w:hAnsiTheme="minorHAnsi" w:cstheme="minorHAnsi"/>
                <w:b w:val="0"/>
                <w:sz w:val="22"/>
                <w:szCs w:val="22"/>
              </w:rPr>
            </w:pPr>
            <w:proofErr w:type="spellStart"/>
            <w:r>
              <w:rPr>
                <w:rFonts w:asciiTheme="minorHAnsi" w:hAnsiTheme="minorHAnsi" w:cstheme="minorHAnsi"/>
                <w:b w:val="0"/>
                <w:sz w:val="22"/>
                <w:szCs w:val="22"/>
              </w:rPr>
              <w:t>Finstall</w:t>
            </w:r>
            <w:proofErr w:type="spellEnd"/>
            <w:r>
              <w:rPr>
                <w:rFonts w:asciiTheme="minorHAnsi" w:hAnsiTheme="minorHAnsi" w:cstheme="minorHAnsi"/>
                <w:b w:val="0"/>
                <w:sz w:val="22"/>
                <w:szCs w:val="22"/>
              </w:rPr>
              <w:t xml:space="preserve"> First School</w:t>
            </w:r>
          </w:p>
        </w:tc>
        <w:tc>
          <w:tcPr>
            <w:tcW w:w="5902" w:type="dxa"/>
          </w:tcPr>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88ED00" w14:textId="77777777" w:rsidR="001A0B56"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p>
          <w:p w14:paraId="16805456" w14:textId="4B1A3275" w:rsidR="009B041F" w:rsidRPr="001A0B56" w:rsidRDefault="001A0B56" w:rsidP="00917BD5">
            <w:pPr>
              <w:pStyle w:val="BodyText"/>
              <w:pBdr>
                <w:top w:val="none" w:sz="0" w:space="0" w:color="auto"/>
              </w:pBdr>
              <w:rPr>
                <w:rFonts w:asciiTheme="minorHAnsi" w:hAnsiTheme="minorHAnsi" w:cstheme="minorHAnsi"/>
                <w:b w:val="0"/>
                <w:sz w:val="22"/>
                <w:szCs w:val="22"/>
              </w:rPr>
            </w:pPr>
            <w:r w:rsidRPr="001A0B56">
              <w:rPr>
                <w:rFonts w:asciiTheme="minorHAnsi" w:hAnsiTheme="minorHAnsi" w:cstheme="minorHAnsi"/>
                <w:b w:val="0"/>
                <w:sz w:val="22"/>
                <w:szCs w:val="22"/>
              </w:rPr>
              <w:t>May 202</w:t>
            </w:r>
            <w:r w:rsidR="00031923">
              <w:rPr>
                <w:rFonts w:asciiTheme="minorHAnsi" w:hAnsiTheme="minorHAnsi" w:cstheme="minorHAnsi"/>
                <w:b w:val="0"/>
                <w:sz w:val="22"/>
                <w:szCs w:val="22"/>
              </w:rPr>
              <w:t>4</w:t>
            </w:r>
            <w:r w:rsidR="009B041F" w:rsidRPr="001A0B56">
              <w:rPr>
                <w:rFonts w:asciiTheme="minorHAnsi" w:hAnsiTheme="minorHAnsi" w:cstheme="minorHAnsi"/>
                <w:b w:val="0"/>
                <w:sz w:val="22"/>
                <w:szCs w:val="22"/>
              </w:rPr>
              <w:tab/>
            </w:r>
            <w:r w:rsidR="009B041F" w:rsidRPr="001A0B56">
              <w:rPr>
                <w:rFonts w:asciiTheme="minorHAnsi" w:hAnsiTheme="minorHAnsi" w:cstheme="minorHAnsi"/>
                <w:b w:val="0"/>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3659D3EB" w14:textId="77777777" w:rsidR="009B041F"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Member of staff responsible</w:t>
            </w:r>
          </w:p>
          <w:p w14:paraId="63A6AB5E" w14:textId="5A4C343F" w:rsidR="001A0B56" w:rsidRPr="001A0B56" w:rsidRDefault="001A0B56" w:rsidP="00917BD5">
            <w:pPr>
              <w:pStyle w:val="BodyText"/>
              <w:pBdr>
                <w:top w:val="none" w:sz="0" w:space="0" w:color="auto"/>
              </w:pBdr>
              <w:rPr>
                <w:rFonts w:asciiTheme="minorHAnsi" w:hAnsiTheme="minorHAnsi" w:cstheme="minorHAnsi"/>
                <w:b w:val="0"/>
                <w:sz w:val="22"/>
                <w:szCs w:val="22"/>
              </w:rPr>
            </w:pPr>
            <w:r>
              <w:rPr>
                <w:rFonts w:asciiTheme="minorHAnsi" w:hAnsiTheme="minorHAnsi" w:cstheme="minorHAnsi"/>
                <w:b w:val="0"/>
                <w:sz w:val="22"/>
                <w:szCs w:val="22"/>
              </w:rPr>
              <w:t>Helen Beasley</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5CF833C" w14:textId="77777777" w:rsidR="009B041F"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Review date</w:t>
            </w:r>
          </w:p>
          <w:p w14:paraId="6ADDA681" w14:textId="149DD878" w:rsidR="001A0B56" w:rsidRPr="001A0B56" w:rsidRDefault="001A0B56" w:rsidP="00917BD5">
            <w:pPr>
              <w:pStyle w:val="BodyText"/>
              <w:pBdr>
                <w:top w:val="none" w:sz="0" w:space="0" w:color="auto"/>
              </w:pBdr>
              <w:rPr>
                <w:rFonts w:asciiTheme="minorHAnsi" w:hAnsiTheme="minorHAnsi" w:cstheme="minorHAnsi"/>
                <w:b w:val="0"/>
                <w:sz w:val="22"/>
                <w:szCs w:val="22"/>
              </w:rPr>
            </w:pPr>
            <w:r>
              <w:rPr>
                <w:rFonts w:asciiTheme="minorHAnsi" w:hAnsiTheme="minorHAnsi" w:cstheme="minorHAnsi"/>
                <w:b w:val="0"/>
                <w:sz w:val="22"/>
                <w:szCs w:val="22"/>
              </w:rPr>
              <w:t>May 202</w:t>
            </w:r>
            <w:r w:rsidR="00031923">
              <w:rPr>
                <w:rFonts w:asciiTheme="minorHAnsi" w:hAnsiTheme="minorHAnsi" w:cstheme="minorHAnsi"/>
                <w:b w:val="0"/>
                <w:sz w:val="22"/>
                <w:szCs w:val="22"/>
              </w:rPr>
              <w:t>5</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0EA8365C" w14:textId="1A8D0595" w:rsidR="005321C7" w:rsidRPr="00A151A0" w:rsidRDefault="005321C7" w:rsidP="005321C7">
      <w:pPr>
        <w:pStyle w:val="Default"/>
        <w:rPr>
          <w:rFonts w:asciiTheme="minorHAnsi" w:hAnsiTheme="minorHAnsi" w:cstheme="minorHAnsi"/>
          <w:color w:val="FF0000"/>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2B204D9A" w14:textId="62895367" w:rsidR="0090364C" w:rsidRDefault="0090364C" w:rsidP="0027651A">
      <w:pPr>
        <w:pStyle w:val="Default"/>
        <w:rPr>
          <w:rFonts w:asciiTheme="minorHAnsi" w:hAnsiTheme="minorHAnsi" w:cstheme="minorHAnsi"/>
          <w:b/>
          <w:bCs/>
          <w:iCs/>
          <w:sz w:val="22"/>
          <w:szCs w:val="22"/>
        </w:rPr>
      </w:pPr>
    </w:p>
    <w:p w14:paraId="40A1D230" w14:textId="023A7C0B" w:rsidR="00F479B2" w:rsidRPr="0062507C" w:rsidRDefault="00F479B2" w:rsidP="00F479B2">
      <w:pPr>
        <w:pStyle w:val="Default"/>
        <w:rPr>
          <w:rFonts w:asciiTheme="minorHAnsi" w:hAnsiTheme="minorHAnsi" w:cstheme="minorHAnsi"/>
          <w:b/>
          <w:iCs/>
          <w:sz w:val="22"/>
          <w:szCs w:val="22"/>
        </w:rPr>
      </w:pPr>
      <w:r w:rsidRPr="0062507C">
        <w:rPr>
          <w:rFonts w:asciiTheme="minorHAnsi" w:hAnsiTheme="minorHAnsi" w:cstheme="minorHAnsi"/>
          <w:b/>
          <w:iCs/>
          <w:sz w:val="22"/>
          <w:szCs w:val="22"/>
        </w:rPr>
        <w:t>Curriculum Rational</w:t>
      </w:r>
      <w:r>
        <w:rPr>
          <w:rFonts w:asciiTheme="minorHAnsi" w:hAnsiTheme="minorHAnsi" w:cstheme="minorHAnsi"/>
          <w:b/>
          <w:iCs/>
          <w:sz w:val="22"/>
          <w:szCs w:val="22"/>
        </w:rPr>
        <w:t>e</w:t>
      </w:r>
      <w:r w:rsidRPr="0062507C">
        <w:rPr>
          <w:rFonts w:asciiTheme="minorHAnsi" w:hAnsiTheme="minorHAnsi" w:cstheme="minorHAnsi"/>
          <w:b/>
          <w:iCs/>
          <w:sz w:val="22"/>
          <w:szCs w:val="22"/>
        </w:rPr>
        <w:t xml:space="preserve"> for PSHE</w:t>
      </w:r>
    </w:p>
    <w:p w14:paraId="1B096577" w14:textId="77777777" w:rsidR="00F479B2" w:rsidRPr="001F10B5" w:rsidRDefault="00F479B2" w:rsidP="00F479B2">
      <w:pPr>
        <w:pStyle w:val="Default"/>
        <w:rPr>
          <w:rFonts w:asciiTheme="minorHAnsi" w:hAnsiTheme="minorHAnsi" w:cstheme="minorHAnsi"/>
          <w:iCs/>
          <w:sz w:val="22"/>
          <w:szCs w:val="22"/>
          <w:u w:val="single"/>
        </w:rPr>
      </w:pPr>
      <w:r w:rsidRPr="001F10B5">
        <w:rPr>
          <w:rFonts w:asciiTheme="minorHAnsi" w:hAnsiTheme="minorHAnsi" w:cstheme="minorHAnsi"/>
          <w:iCs/>
          <w:sz w:val="22"/>
          <w:szCs w:val="22"/>
          <w:u w:val="single"/>
        </w:rPr>
        <w:t>Curriculum Intent</w:t>
      </w:r>
    </w:p>
    <w:p w14:paraId="52863A88" w14:textId="77777777" w:rsidR="00F479B2" w:rsidRPr="001F10B5" w:rsidRDefault="00F479B2" w:rsidP="00F479B2">
      <w:pPr>
        <w:pStyle w:val="Default"/>
        <w:rPr>
          <w:rFonts w:asciiTheme="minorHAnsi" w:hAnsiTheme="minorHAnsi" w:cstheme="minorHAnsi"/>
          <w:iCs/>
          <w:sz w:val="22"/>
          <w:szCs w:val="22"/>
        </w:rPr>
      </w:pPr>
      <w:r w:rsidRPr="001F10B5">
        <w:rPr>
          <w:rFonts w:asciiTheme="minorHAnsi" w:hAnsiTheme="minorHAnsi" w:cstheme="minorHAnsi"/>
          <w:iCs/>
          <w:sz w:val="22"/>
          <w:szCs w:val="22"/>
        </w:rPr>
        <w:t>To provide a broad, balanced and meaningful PSHE curriculum that meets the unique and varied needs of all our pupils and enables all children to achieve well. We aim to promote positive personal, social, emotional, physical and mental development of all our pupils so they acquire the knowledge, skills and values required for them to reach their full potential. We aim to prepare children for life beyond school by helping them to acquire an increasing understanding of their rights and responsibilities. We aim to help them to develop the character required to make an active, respectful contribution to their school and wider community. We aim to provide children with the knowledge they need to make informed decisions, know how to stay physically and mentally well and how to stay safe from a variety of risks. We encourage children to be increasingly independent, resilient, confident and respectful of themselves and others so they can develop strong friendships and relationships. Reading is a valued part of PSHE. Stories a</w:t>
      </w:r>
      <w:r>
        <w:rPr>
          <w:rFonts w:asciiTheme="minorHAnsi" w:hAnsiTheme="minorHAnsi" w:cstheme="minorHAnsi"/>
          <w:iCs/>
          <w:sz w:val="22"/>
          <w:szCs w:val="22"/>
        </w:rPr>
        <w:t>nd</w:t>
      </w:r>
      <w:r w:rsidRPr="001F10B5">
        <w:rPr>
          <w:rFonts w:asciiTheme="minorHAnsi" w:hAnsiTheme="minorHAnsi" w:cstheme="minorHAnsi"/>
          <w:iCs/>
          <w:sz w:val="22"/>
          <w:szCs w:val="22"/>
        </w:rPr>
        <w:t xml:space="preserve"> scenarios are shared to help children acquire valuable knowledge, skills and values across the PSHE curriculum.</w:t>
      </w:r>
    </w:p>
    <w:p w14:paraId="02804502" w14:textId="28C9AB42" w:rsidR="00F479B2" w:rsidRDefault="00F479B2" w:rsidP="00F479B2">
      <w:pPr>
        <w:pStyle w:val="Default"/>
        <w:rPr>
          <w:rFonts w:asciiTheme="minorHAnsi" w:hAnsiTheme="minorHAnsi" w:cstheme="minorHAnsi"/>
          <w:iCs/>
          <w:sz w:val="22"/>
          <w:szCs w:val="22"/>
        </w:rPr>
      </w:pPr>
    </w:p>
    <w:p w14:paraId="5BBBBE18" w14:textId="4C78849F" w:rsidR="007A71E8" w:rsidRDefault="007A71E8" w:rsidP="00F479B2">
      <w:pPr>
        <w:pStyle w:val="Default"/>
        <w:rPr>
          <w:rFonts w:asciiTheme="minorHAnsi" w:hAnsiTheme="minorHAnsi" w:cstheme="minorHAnsi"/>
          <w:iCs/>
          <w:sz w:val="22"/>
          <w:szCs w:val="22"/>
        </w:rPr>
      </w:pPr>
    </w:p>
    <w:p w14:paraId="4684A2CD" w14:textId="6966608C" w:rsidR="007A71E8" w:rsidRDefault="007A71E8" w:rsidP="00F479B2">
      <w:pPr>
        <w:pStyle w:val="Default"/>
        <w:rPr>
          <w:rFonts w:asciiTheme="minorHAnsi" w:hAnsiTheme="minorHAnsi" w:cstheme="minorHAnsi"/>
          <w:iCs/>
          <w:sz w:val="22"/>
          <w:szCs w:val="22"/>
        </w:rPr>
      </w:pPr>
    </w:p>
    <w:p w14:paraId="1792BF0B" w14:textId="73B7B6D9" w:rsidR="007A71E8" w:rsidRDefault="007A71E8" w:rsidP="00F479B2">
      <w:pPr>
        <w:pStyle w:val="Default"/>
        <w:rPr>
          <w:rFonts w:asciiTheme="minorHAnsi" w:hAnsiTheme="minorHAnsi" w:cstheme="minorHAnsi"/>
          <w:iCs/>
          <w:sz w:val="22"/>
          <w:szCs w:val="22"/>
        </w:rPr>
      </w:pPr>
    </w:p>
    <w:p w14:paraId="69EEA953" w14:textId="77777777" w:rsidR="007A71E8" w:rsidRPr="001F10B5" w:rsidRDefault="007A71E8" w:rsidP="00F479B2">
      <w:pPr>
        <w:pStyle w:val="Default"/>
        <w:rPr>
          <w:rFonts w:asciiTheme="minorHAnsi" w:hAnsiTheme="minorHAnsi" w:cstheme="minorHAnsi"/>
          <w:iCs/>
          <w:sz w:val="22"/>
          <w:szCs w:val="22"/>
        </w:rPr>
      </w:pPr>
    </w:p>
    <w:p w14:paraId="0DE409CA" w14:textId="77777777" w:rsidR="00F479B2" w:rsidRPr="001F10B5" w:rsidRDefault="00F479B2" w:rsidP="00F479B2">
      <w:pPr>
        <w:pStyle w:val="Default"/>
        <w:rPr>
          <w:rFonts w:asciiTheme="minorHAnsi" w:hAnsiTheme="minorHAnsi" w:cstheme="minorHAnsi"/>
          <w:iCs/>
          <w:sz w:val="22"/>
          <w:szCs w:val="22"/>
          <w:u w:val="single"/>
        </w:rPr>
      </w:pPr>
      <w:r w:rsidRPr="001F10B5">
        <w:rPr>
          <w:rFonts w:asciiTheme="minorHAnsi" w:hAnsiTheme="minorHAnsi" w:cstheme="minorHAnsi"/>
          <w:iCs/>
          <w:sz w:val="22"/>
          <w:szCs w:val="22"/>
          <w:u w:val="single"/>
        </w:rPr>
        <w:lastRenderedPageBreak/>
        <w:t>Curriculum Implementation</w:t>
      </w:r>
    </w:p>
    <w:p w14:paraId="0058365F" w14:textId="77777777" w:rsidR="00F479B2" w:rsidRPr="001F10B5" w:rsidRDefault="00F479B2" w:rsidP="00F479B2">
      <w:pPr>
        <w:shd w:val="clear" w:color="auto" w:fill="FFFFFF"/>
        <w:spacing w:after="0" w:line="240" w:lineRule="auto"/>
        <w:rPr>
          <w:rFonts w:eastAsia="Times New Roman" w:cstheme="minorHAnsi"/>
          <w:lang w:eastAsia="en-GB"/>
        </w:rPr>
      </w:pPr>
      <w:r w:rsidRPr="001F10B5">
        <w:rPr>
          <w:rFonts w:eastAsia="Times New Roman" w:cstheme="minorHAnsi"/>
          <w:lang w:eastAsia="en-GB"/>
        </w:rPr>
        <w:t xml:space="preserve">PSHE in Early Years is delivered in accordance with the ‘Early Years Foundation Stage’ curriculum. Children take part in regular circle times and ‘Mindfulness’ activities. PSHE in Early Years is referred to as ‘Personal, Social and Emotional Development’. Children learn to develop relationships, build confidence and we nurture respect through the areas of ‘Self-Regulation’, ‘Managing Self’ and ‘Building Relationships’. </w:t>
      </w:r>
      <w:r w:rsidRPr="001F10B5">
        <w:rPr>
          <w:rFonts w:cstheme="minorHAnsi"/>
        </w:rPr>
        <w:t xml:space="preserve">The PSHE curriculum fulfils the statutory requirements for Relationships and Health Education as well as non-statutory PSHE objectives. The curriculum is delivered in discrete lessons as well as through our whole school ethos and values, and through Continuous Provision in Early Years. PSHE in all years is delivered using the Jigsaw scheme which is adapted and enhanced to reflect the needs of our pupils. Each half term has a theme ‘puzzle’ which is introduced to the whole school through an assembly.  The six half-termly ‘puzzle’ themes are; </w:t>
      </w:r>
      <w:r w:rsidRPr="001F10B5">
        <w:rPr>
          <w:rFonts w:eastAsia="Times New Roman" w:cstheme="minorHAnsi"/>
          <w:lang w:eastAsia="en-GB"/>
        </w:rPr>
        <w:t>‘Being Me in My World’, ‘Celebrating Difference’, ‘Dreams and Goals’, ‘Healthy Me’, ‘Relationships’ and ‘Changing Me’. The Jigsaw scheme provides a spiral curriculum which promotes progression and continuity throughout our school. Lessons allow for regular opportunities to recap prior learning to ensure that key skills, knowledge and concepts are embedded in long-term memory. The PSHE curriculum is delivered by adults who develop strong, caring relationships with and between pupils. The learning environment fosters mutual and self-respect, tolerance and appreciation of difference. The Jigsaw scheme encourages positive state of mind through a ‘</w:t>
      </w:r>
      <w:r>
        <w:rPr>
          <w:rFonts w:eastAsia="Times New Roman" w:cstheme="minorHAnsi"/>
          <w:lang w:eastAsia="en-GB"/>
        </w:rPr>
        <w:t>Calm Me</w:t>
      </w:r>
      <w:r w:rsidRPr="001F10B5">
        <w:rPr>
          <w:rFonts w:eastAsia="Times New Roman" w:cstheme="minorHAnsi"/>
          <w:lang w:eastAsia="en-GB"/>
        </w:rPr>
        <w:t xml:space="preserve">’ aspect of each weekly session and working together through ‘Connect </w:t>
      </w:r>
      <w:r>
        <w:rPr>
          <w:rFonts w:eastAsia="Times New Roman" w:cstheme="minorHAnsi"/>
          <w:lang w:eastAsia="en-GB"/>
        </w:rPr>
        <w:t>Us</w:t>
      </w:r>
      <w:r w:rsidRPr="001F10B5">
        <w:rPr>
          <w:rFonts w:eastAsia="Times New Roman" w:cstheme="minorHAnsi"/>
          <w:lang w:eastAsia="en-GB"/>
        </w:rPr>
        <w:t>’ activities. Additionally, we celebrate ‘Children’s Mental Health Week’ and a PA organised ‘Dare to be Different Day.’ We provide children with opportunities and activities during ‘Anti-Bullying Week’ to promote self-worth and develop appreciation of the diverse world around us.</w:t>
      </w:r>
    </w:p>
    <w:p w14:paraId="532A9687" w14:textId="77777777" w:rsidR="00F479B2" w:rsidRPr="001F10B5" w:rsidRDefault="00F479B2" w:rsidP="00F479B2">
      <w:pPr>
        <w:pStyle w:val="Default"/>
        <w:rPr>
          <w:rFonts w:asciiTheme="minorHAnsi" w:hAnsiTheme="minorHAnsi" w:cstheme="minorHAnsi"/>
          <w:iCs/>
          <w:sz w:val="22"/>
          <w:szCs w:val="22"/>
        </w:rPr>
      </w:pPr>
    </w:p>
    <w:p w14:paraId="23DDA5D8" w14:textId="77777777" w:rsidR="00F479B2" w:rsidRPr="001F10B5" w:rsidRDefault="00F479B2" w:rsidP="00F479B2">
      <w:pPr>
        <w:pStyle w:val="Default"/>
        <w:rPr>
          <w:rFonts w:asciiTheme="minorHAnsi" w:hAnsiTheme="minorHAnsi" w:cstheme="minorHAnsi"/>
          <w:iCs/>
          <w:sz w:val="22"/>
          <w:szCs w:val="22"/>
          <w:u w:val="single"/>
        </w:rPr>
      </w:pPr>
      <w:r w:rsidRPr="001F10B5">
        <w:rPr>
          <w:rFonts w:asciiTheme="minorHAnsi" w:hAnsiTheme="minorHAnsi" w:cstheme="minorHAnsi"/>
          <w:iCs/>
          <w:sz w:val="22"/>
          <w:szCs w:val="22"/>
          <w:u w:val="single"/>
        </w:rPr>
        <w:t>Curriculum Impact</w:t>
      </w:r>
    </w:p>
    <w:p w14:paraId="09300772" w14:textId="77777777" w:rsidR="00F479B2" w:rsidRPr="001F10B5" w:rsidRDefault="00F479B2" w:rsidP="00F479B2">
      <w:pPr>
        <w:pStyle w:val="Default"/>
        <w:rPr>
          <w:rFonts w:cstheme="minorHAnsi"/>
          <w:sz w:val="22"/>
          <w:szCs w:val="22"/>
        </w:rPr>
      </w:pPr>
      <w:r w:rsidRPr="001F10B5">
        <w:rPr>
          <w:rFonts w:asciiTheme="minorHAnsi" w:hAnsiTheme="minorHAnsi" w:cstheme="minorHAnsi"/>
          <w:iCs/>
          <w:sz w:val="22"/>
          <w:szCs w:val="22"/>
        </w:rPr>
        <w:t xml:space="preserve">The impact of the PSHE curriculum is evidenced by the high-quality outcomes in PSHE in all year groups where children know more, understand more, remember more and can do more with increasing confidence, resilience and independence. This can be seen in children’s work, collected in Class PSHE ‘Jigsaw Journals’, from talking to the children about what they have been learning and </w:t>
      </w:r>
      <w:r w:rsidRPr="001F10B5">
        <w:rPr>
          <w:rFonts w:asciiTheme="minorHAnsi" w:hAnsiTheme="minorHAnsi" w:cstheme="minorHAnsi"/>
          <w:iCs/>
          <w:color w:val="auto"/>
          <w:sz w:val="22"/>
          <w:szCs w:val="22"/>
        </w:rPr>
        <w:t xml:space="preserve">from the assessments undertaken by Class Teachers at the end of each half termly unit. The </w:t>
      </w:r>
      <w:r w:rsidRPr="001F10B5">
        <w:rPr>
          <w:rFonts w:asciiTheme="minorHAnsi" w:hAnsiTheme="minorHAnsi" w:cstheme="minorHAnsi"/>
          <w:iCs/>
          <w:sz w:val="22"/>
          <w:szCs w:val="22"/>
        </w:rPr>
        <w:t xml:space="preserve">percentages obtaining a good level of understanding and a deep level of understanding are analysed by the subject leader and show that almost all children </w:t>
      </w:r>
      <w:r w:rsidRPr="001F10B5">
        <w:rPr>
          <w:rFonts w:asciiTheme="minorHAnsi" w:hAnsiTheme="minorHAnsi" w:cstheme="minorHAnsi"/>
          <w:iCs/>
          <w:color w:val="auto"/>
          <w:sz w:val="22"/>
          <w:szCs w:val="22"/>
        </w:rPr>
        <w:t xml:space="preserve">in Years 1 - 4 achieve at least a good level of understanding and a very high </w:t>
      </w:r>
      <w:r>
        <w:rPr>
          <w:rFonts w:asciiTheme="minorHAnsi" w:hAnsiTheme="minorHAnsi" w:cstheme="minorHAnsi"/>
          <w:iCs/>
          <w:color w:val="auto"/>
          <w:sz w:val="22"/>
          <w:szCs w:val="22"/>
        </w:rPr>
        <w:t>percentage</w:t>
      </w:r>
      <w:r w:rsidRPr="001F10B5">
        <w:rPr>
          <w:rFonts w:asciiTheme="minorHAnsi" w:hAnsiTheme="minorHAnsi" w:cstheme="minorHAnsi"/>
          <w:iCs/>
          <w:color w:val="auto"/>
          <w:sz w:val="22"/>
          <w:szCs w:val="22"/>
        </w:rPr>
        <w:t xml:space="preserve"> achieve a deep level of understanding. </w:t>
      </w:r>
      <w:r w:rsidRPr="001F10B5">
        <w:rPr>
          <w:rFonts w:cstheme="minorHAnsi"/>
          <w:sz w:val="22"/>
          <w:szCs w:val="22"/>
        </w:rPr>
        <w:t>Similarly, almost all EYFS children achieve an expected level of development in ‘Self-Regulation’, ‘Managing Self’ and ‘Building Relationships’.</w:t>
      </w:r>
    </w:p>
    <w:p w14:paraId="129A47D4" w14:textId="77777777" w:rsidR="00F479B2" w:rsidRPr="001F10B5" w:rsidRDefault="00F479B2" w:rsidP="00F479B2">
      <w:pPr>
        <w:pStyle w:val="Default"/>
        <w:rPr>
          <w:rFonts w:cstheme="minorHAnsi"/>
          <w:sz w:val="22"/>
          <w:szCs w:val="22"/>
        </w:rPr>
      </w:pPr>
      <w:r w:rsidRPr="001F10B5">
        <w:rPr>
          <w:rFonts w:cstheme="minorHAnsi"/>
          <w:sz w:val="22"/>
          <w:szCs w:val="22"/>
        </w:rPr>
        <w:t xml:space="preserve">The knowledge, skills and values that children develop through their years at </w:t>
      </w:r>
      <w:proofErr w:type="spellStart"/>
      <w:r w:rsidRPr="001F10B5">
        <w:rPr>
          <w:rFonts w:cstheme="minorHAnsi"/>
          <w:sz w:val="22"/>
          <w:szCs w:val="22"/>
        </w:rPr>
        <w:t>Finstall</w:t>
      </w:r>
      <w:proofErr w:type="spellEnd"/>
      <w:r w:rsidRPr="001F10B5">
        <w:rPr>
          <w:rFonts w:cstheme="minorHAnsi"/>
          <w:sz w:val="22"/>
          <w:szCs w:val="22"/>
        </w:rPr>
        <w:t xml:space="preserve"> First School help them to become confident, resilient, independent and caring children who are well-equipped to continue to succeed once they have left our School and they are well-prepared for life in Modern British society.</w:t>
      </w:r>
    </w:p>
    <w:p w14:paraId="49518529" w14:textId="77777777" w:rsidR="00F479B2" w:rsidRDefault="00F479B2" w:rsidP="0027651A">
      <w:pPr>
        <w:pStyle w:val="Default"/>
        <w:rPr>
          <w:rFonts w:asciiTheme="minorHAnsi" w:hAnsiTheme="minorHAnsi" w:cstheme="minorHAnsi"/>
          <w:b/>
          <w:bCs/>
          <w:iCs/>
          <w:sz w:val="22"/>
          <w:szCs w:val="22"/>
        </w:rPr>
      </w:pPr>
    </w:p>
    <w:p w14:paraId="6E506A7A" w14:textId="03E2D728" w:rsidR="0090364C"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5A59F7AD"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A</w:t>
      </w:r>
      <w:r w:rsidRPr="00D92C63">
        <w:rPr>
          <w:rFonts w:asciiTheme="minorHAnsi" w:hAnsiTheme="minorHAnsi" w:cstheme="minorHAnsi"/>
          <w:iCs/>
          <w:sz w:val="22"/>
          <w:szCs w:val="22"/>
        </w:rPr>
        <w:t xml:space="preserve">t </w:t>
      </w:r>
      <w:proofErr w:type="spellStart"/>
      <w:r w:rsidR="00D92C63" w:rsidRPr="00D92C63">
        <w:rPr>
          <w:rFonts w:asciiTheme="minorHAnsi" w:hAnsiTheme="minorHAnsi" w:cstheme="minorHAnsi"/>
          <w:iCs/>
          <w:sz w:val="22"/>
          <w:szCs w:val="22"/>
        </w:rPr>
        <w:t>Finstall</w:t>
      </w:r>
      <w:proofErr w:type="spellEnd"/>
      <w:r w:rsidR="00D92C63" w:rsidRPr="00D92C63">
        <w:rPr>
          <w:rFonts w:asciiTheme="minorHAnsi" w:hAnsiTheme="minorHAnsi" w:cstheme="minorHAnsi"/>
          <w:iCs/>
          <w:sz w:val="22"/>
          <w:szCs w:val="22"/>
        </w:rPr>
        <w:t xml:space="preserve"> First</w:t>
      </w:r>
      <w:r w:rsidRPr="00D92C63">
        <w:rPr>
          <w:rFonts w:asciiTheme="minorHAnsi" w:hAnsiTheme="minorHAnsi" w:cstheme="minorHAnsi"/>
          <w:iCs/>
          <w:sz w:val="22"/>
          <w:szCs w:val="22"/>
        </w:rPr>
        <w:t xml:space="preserve"> Sch</w:t>
      </w:r>
      <w:r w:rsidRPr="0027651A">
        <w:rPr>
          <w:rFonts w:asciiTheme="minorHAnsi" w:hAnsiTheme="minorHAnsi" w:cstheme="minorHAnsi"/>
          <w:iCs/>
          <w:sz w:val="22"/>
          <w:szCs w:val="22"/>
        </w:rPr>
        <w:t>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6FA1507B" w14:textId="0D73033F"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The overview of the programme can be seen on the school website.</w:t>
      </w:r>
      <w:r w:rsidR="007A71E8">
        <w:rPr>
          <w:rFonts w:asciiTheme="minorHAnsi" w:hAnsiTheme="minorHAnsi" w:cstheme="minorHAnsi"/>
          <w:iCs/>
          <w:sz w:val="22"/>
          <w:szCs w:val="22"/>
        </w:rPr>
        <w:t xml:space="preserve"> </w:t>
      </w: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18B5700A"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lastRenderedPageBreak/>
        <w:t>Statutory Relationships and Health Education</w:t>
      </w:r>
    </w:p>
    <w:p w14:paraId="6D899095" w14:textId="77777777" w:rsidR="00F479B2" w:rsidRDefault="00F479B2" w:rsidP="00BA3DAA">
      <w:pPr>
        <w:pStyle w:val="Default"/>
        <w:ind w:left="720"/>
        <w:rPr>
          <w:rFonts w:asciiTheme="minorHAnsi" w:hAnsiTheme="minorHAnsi" w:cstheme="minorHAnsi"/>
          <w:iCs/>
          <w:sz w:val="22"/>
          <w:szCs w:val="22"/>
        </w:rPr>
      </w:pPr>
    </w:p>
    <w:p w14:paraId="71A3476F" w14:textId="2757C76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w:t>
      </w:r>
      <w:r w:rsidR="00D92C63">
        <w:rPr>
          <w:rFonts w:asciiTheme="minorHAnsi" w:hAnsiTheme="minorHAnsi" w:cstheme="minorHAnsi"/>
          <w:iCs/>
          <w:sz w:val="22"/>
          <w:szCs w:val="22"/>
        </w:rPr>
        <w:t xml:space="preserve"> </w:t>
      </w:r>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4C0C5258" w:rsidR="00ED56EC" w:rsidRDefault="007F6ABD" w:rsidP="00917BD5">
      <w:pPr>
        <w:spacing w:after="0" w:line="240" w:lineRule="auto"/>
        <w:rPr>
          <w:rFonts w:cstheme="minorHAnsi"/>
          <w:color w:val="000000"/>
        </w:rPr>
      </w:pPr>
      <w:r>
        <w:rPr>
          <w:rFonts w:cstheme="minorHAnsi"/>
          <w:color w:val="000000"/>
        </w:rPr>
        <w:t xml:space="preserve">Here, at </w:t>
      </w:r>
      <w:proofErr w:type="spellStart"/>
      <w:r w:rsidR="00600ACC" w:rsidRPr="00600ACC">
        <w:rPr>
          <w:rFonts w:cstheme="minorHAnsi"/>
          <w:color w:val="000000"/>
        </w:rPr>
        <w:t>Finstall</w:t>
      </w:r>
      <w:proofErr w:type="spellEnd"/>
      <w:r w:rsidR="00600ACC" w:rsidRPr="00600ACC">
        <w:rPr>
          <w:rFonts w:cstheme="minorHAnsi"/>
          <w:color w:val="000000"/>
        </w:rPr>
        <w:t xml:space="preserve"> First</w:t>
      </w:r>
      <w:r w:rsidRPr="00600ACC">
        <w:rPr>
          <w:rFonts w:cstheme="minorHAnsi"/>
          <w:color w:val="000000"/>
        </w:rPr>
        <w:t xml:space="preserve"> School</w:t>
      </w:r>
      <w:r w:rsidR="00600ACC">
        <w:rPr>
          <w:rFonts w:cstheme="minorHAnsi"/>
          <w:color w:val="000000"/>
        </w:rPr>
        <w:t>,</w:t>
      </w:r>
      <w:r>
        <w:rPr>
          <w:rFonts w:cstheme="minorHAnsi"/>
          <w:color w:val="000000"/>
        </w:rPr>
        <w:t xml:space="preserve">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3AF776" w:rsidR="00252AA1" w:rsidRDefault="00252AA1" w:rsidP="00917BD5">
      <w:pPr>
        <w:spacing w:after="0" w:line="240" w:lineRule="auto"/>
        <w:rPr>
          <w:rFonts w:cstheme="minorHAnsi"/>
          <w:color w:val="000000"/>
        </w:rPr>
      </w:pPr>
    </w:p>
    <w:p w14:paraId="2C3463DA" w14:textId="70E770F1" w:rsidR="00224706" w:rsidRDefault="00224706" w:rsidP="00917BD5">
      <w:pPr>
        <w:spacing w:after="0" w:line="240" w:lineRule="auto"/>
        <w:rPr>
          <w:rFonts w:cstheme="minorHAnsi"/>
          <w:color w:val="000000"/>
        </w:rPr>
      </w:pPr>
    </w:p>
    <w:p w14:paraId="79E4CA14" w14:textId="59295D45" w:rsidR="00224706" w:rsidRDefault="00224706" w:rsidP="00917BD5">
      <w:pPr>
        <w:spacing w:after="0" w:line="240" w:lineRule="auto"/>
        <w:rPr>
          <w:rFonts w:cstheme="minorHAnsi"/>
          <w:color w:val="000000"/>
        </w:rPr>
      </w:pPr>
    </w:p>
    <w:p w14:paraId="22EC1196" w14:textId="77777777" w:rsidR="00224706" w:rsidRDefault="00224706" w:rsidP="00917BD5">
      <w:pPr>
        <w:spacing w:after="0" w:line="240" w:lineRule="auto"/>
        <w:rPr>
          <w:rFonts w:cstheme="minorHAnsi"/>
          <w:color w:val="000000"/>
        </w:rPr>
      </w:pPr>
    </w:p>
    <w:p w14:paraId="4223D307" w14:textId="77777777" w:rsidR="00031923" w:rsidRDefault="00031923" w:rsidP="00031923">
      <w:pPr>
        <w:spacing w:after="0" w:line="240" w:lineRule="auto"/>
        <w:rPr>
          <w:rFonts w:cstheme="minorHAnsi"/>
          <w:color w:val="000000"/>
        </w:rPr>
      </w:pPr>
      <w:r>
        <w:rPr>
          <w:rFonts w:cstheme="minorHAnsi"/>
          <w:color w:val="000000"/>
        </w:rPr>
        <w:lastRenderedPageBreak/>
        <w:t xml:space="preserve">To ensure progression and a spiral </w:t>
      </w:r>
      <w:r w:rsidRPr="00F479B2">
        <w:rPr>
          <w:rFonts w:cstheme="minorHAnsi"/>
        </w:rPr>
        <w:t xml:space="preserve">curriculum, we use Jigsaw, the mindful approach to PSHE, as our chosen teaching and learning programme and tailor it to children’s needs. The mapping document: Jigsaw 3-11 and statutory Relationships and Health Education, </w:t>
      </w:r>
      <w:hyperlink r:id="rId9" w:history="1">
        <w:r w:rsidRPr="00F479B2">
          <w:rPr>
            <w:rStyle w:val="Hyperlink"/>
            <w:rFonts w:cstheme="minorHAnsi"/>
            <w:color w:val="auto"/>
          </w:rPr>
          <w:t>jigsaw-3-11-and-rshe-overview-map.pdf (windows.net)</w:t>
        </w:r>
      </w:hyperlink>
      <w:r w:rsidRPr="00F479B2">
        <w:rPr>
          <w:rFonts w:cstheme="minorHAnsi"/>
        </w:rPr>
        <w:t>, shows exactly how Jigsaw and therefore our school, meets the statutory Relationships and Health Education requirements</w:t>
      </w:r>
      <w:r>
        <w:rPr>
          <w:rFonts w:cstheme="minorHAnsi"/>
          <w:color w:val="000000"/>
        </w:rPr>
        <w:t xml:space="preserve">.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2AA86DA8" w14:textId="77777777" w:rsidR="00031923" w:rsidRPr="00F479B2" w:rsidRDefault="007F6ABD" w:rsidP="00031923">
      <w:pPr>
        <w:spacing w:line="240" w:lineRule="auto"/>
        <w:rPr>
          <w:rFonts w:cstheme="minorHAnsi"/>
        </w:rPr>
      </w:pPr>
      <w:r w:rsidRPr="00F479B2">
        <w:rPr>
          <w:rFonts w:cstheme="minorHAnsi"/>
        </w:rPr>
        <w:t>Our</w:t>
      </w:r>
      <w:r w:rsidR="00534B6E" w:rsidRPr="00F479B2">
        <w:rPr>
          <w:rFonts w:cstheme="minorHAnsi"/>
        </w:rPr>
        <w:t xml:space="preserve"> PSHE policy is informed by existing DfE guidance</w:t>
      </w:r>
      <w:r w:rsidR="009B12A4" w:rsidRPr="00F479B2">
        <w:rPr>
          <w:rFonts w:cstheme="minorHAnsi"/>
        </w:rPr>
        <w:t>:</w:t>
      </w:r>
      <w:r w:rsidR="008E55F1" w:rsidRPr="00F479B2">
        <w:rPr>
          <w:rFonts w:cstheme="minorHAnsi"/>
        </w:rPr>
        <w:t xml:space="preserve"> </w:t>
      </w:r>
    </w:p>
    <w:p w14:paraId="4EE953C2" w14:textId="5D01D72B" w:rsidR="00031923" w:rsidRPr="00F479B2" w:rsidRDefault="00031923" w:rsidP="00F479B2">
      <w:pPr>
        <w:pStyle w:val="ListParagraph"/>
        <w:numPr>
          <w:ilvl w:val="0"/>
          <w:numId w:val="37"/>
        </w:numPr>
        <w:spacing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Keeping Children Safe in Education (statutory guidance) </w:t>
      </w:r>
      <w:hyperlink r:id="rId10" w:history="1">
        <w:r w:rsidRPr="00F479B2">
          <w:rPr>
            <w:rStyle w:val="Hyperlink"/>
            <w:rFonts w:ascii="ArialMT" w:eastAsia="Times New Roman" w:hAnsi="ArialMT" w:cs="Times New Roman"/>
            <w:color w:val="auto"/>
            <w:sz w:val="24"/>
            <w:szCs w:val="24"/>
            <w:lang w:eastAsia="en-GB"/>
          </w:rPr>
          <w:t>Keeping children safe in education - GOV.UK (www.gov.uk)</w:t>
        </w:r>
      </w:hyperlink>
    </w:p>
    <w:p w14:paraId="683F2AFE"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Respectful School Communities: Self Review and Signposting Tool (a tool to support a whole school approach that promotes respect and discipline) </w:t>
      </w:r>
      <w:hyperlink r:id="rId11" w:history="1">
        <w:r w:rsidRPr="00F479B2">
          <w:rPr>
            <w:rStyle w:val="Hyperlink"/>
            <w:rFonts w:ascii="ArialMT" w:eastAsia="Times New Roman" w:hAnsi="ArialMT" w:cs="Times New Roman"/>
            <w:color w:val="auto"/>
            <w:sz w:val="24"/>
            <w:szCs w:val="24"/>
            <w:lang w:eastAsia="en-GB"/>
          </w:rPr>
          <w:t>Respectful School Communities Self-Review and Signposting Tool (educateagainsthate.com)</w:t>
        </w:r>
      </w:hyperlink>
    </w:p>
    <w:p w14:paraId="5A61333B"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Behaviour and Discipline in Schools (advice for schools, including advice for appropriate behaviour between pupils) </w:t>
      </w:r>
      <w:hyperlink r:id="rId12" w:history="1">
        <w:r w:rsidRPr="00F479B2">
          <w:rPr>
            <w:rStyle w:val="Hyperlink"/>
            <w:rFonts w:ascii="ArialMT" w:eastAsia="Times New Roman" w:hAnsi="ArialMT" w:cs="Times New Roman"/>
            <w:color w:val="auto"/>
            <w:sz w:val="24"/>
            <w:szCs w:val="24"/>
            <w:lang w:eastAsia="en-GB"/>
          </w:rPr>
          <w:t>Behaviour in schools - GOV.UK (www.gov.uk)</w:t>
        </w:r>
      </w:hyperlink>
    </w:p>
    <w:p w14:paraId="5DF739EB"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Equality Act 2010 and schools </w:t>
      </w:r>
      <w:hyperlink r:id="rId13" w:history="1">
        <w:r w:rsidRPr="00F479B2">
          <w:rPr>
            <w:rStyle w:val="Hyperlink"/>
            <w:rFonts w:ascii="ArialMT" w:eastAsia="Times New Roman" w:hAnsi="ArialMT" w:cs="Times New Roman"/>
            <w:color w:val="auto"/>
            <w:sz w:val="24"/>
            <w:szCs w:val="24"/>
            <w:lang w:eastAsia="en-GB"/>
          </w:rPr>
          <w:t>Equality Act 2010: advice for schools - GOV.UK (www.gov.uk)</w:t>
        </w:r>
      </w:hyperlink>
    </w:p>
    <w:p w14:paraId="7075E441"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SEND code of practice: 0 to 25 years (statutory guidance) </w:t>
      </w:r>
      <w:hyperlink r:id="rId14" w:history="1">
        <w:r w:rsidRPr="00F479B2">
          <w:rPr>
            <w:rStyle w:val="Hyperlink"/>
            <w:rFonts w:ascii="ArialMT" w:eastAsia="Times New Roman" w:hAnsi="ArialMT" w:cs="Times New Roman"/>
            <w:color w:val="auto"/>
            <w:sz w:val="24"/>
            <w:szCs w:val="24"/>
            <w:lang w:eastAsia="en-GB"/>
          </w:rPr>
          <w:t>SEND code of practice: 0 to 25 years - GOV.UK (www.gov.uk)</w:t>
        </w:r>
      </w:hyperlink>
    </w:p>
    <w:p w14:paraId="75C2836D"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Alternative Provision (statutory guidance) </w:t>
      </w:r>
      <w:hyperlink r:id="rId15" w:history="1">
        <w:r w:rsidRPr="00F479B2">
          <w:rPr>
            <w:rStyle w:val="Hyperlink"/>
            <w:rFonts w:ascii="ArialMT" w:eastAsia="Times New Roman" w:hAnsi="ArialMT" w:cs="Times New Roman"/>
            <w:color w:val="auto"/>
            <w:sz w:val="24"/>
            <w:szCs w:val="24"/>
            <w:lang w:eastAsia="en-GB"/>
          </w:rPr>
          <w:t>Alternative provision - GOV.UK (www.gov.uk)</w:t>
        </w:r>
      </w:hyperlink>
    </w:p>
    <w:p w14:paraId="4238E981"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Mental Health and Behaviour in Schools (advice for schools) </w:t>
      </w:r>
      <w:hyperlink r:id="rId16" w:history="1">
        <w:r w:rsidRPr="00F479B2">
          <w:rPr>
            <w:rStyle w:val="Hyperlink"/>
            <w:rFonts w:ascii="ArialMT" w:eastAsia="Times New Roman" w:hAnsi="ArialMT" w:cs="Times New Roman"/>
            <w:color w:val="auto"/>
            <w:sz w:val="24"/>
            <w:szCs w:val="24"/>
            <w:lang w:eastAsia="en-GB"/>
          </w:rPr>
          <w:t>Mental health and behaviour in schools - GOV.UK (www.gov.uk)</w:t>
        </w:r>
      </w:hyperlink>
    </w:p>
    <w:p w14:paraId="1C62CBEA"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SymbolMT" w:eastAsia="Times New Roman" w:hAnsi="SymbolMT" w:cs="Times New Roman"/>
          <w:sz w:val="24"/>
          <w:szCs w:val="24"/>
          <w:lang w:eastAsia="en-GB"/>
        </w:rPr>
        <w:t>Social, emotional and mental wellbeing in primary and secondary education. (NICE guidance)</w:t>
      </w:r>
      <w:r w:rsidRPr="00F479B2">
        <w:t xml:space="preserve"> </w:t>
      </w:r>
      <w:hyperlink r:id="rId17" w:history="1">
        <w:r w:rsidRPr="00F479B2">
          <w:rPr>
            <w:rStyle w:val="Hyperlink"/>
            <w:rFonts w:ascii="SymbolMT" w:eastAsia="Times New Roman" w:hAnsi="SymbolMT" w:cs="Times New Roman"/>
            <w:color w:val="auto"/>
            <w:sz w:val="24"/>
            <w:szCs w:val="24"/>
            <w:lang w:eastAsia="en-GB"/>
          </w:rPr>
          <w:t>Overview | Social, emotional and mental wellbeing in primary and secondary education | Guidance | NICE</w:t>
        </w:r>
      </w:hyperlink>
    </w:p>
    <w:p w14:paraId="15357F84"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SymbolMT" w:eastAsia="Times New Roman" w:hAnsi="SymbolMT" w:cs="Times New Roman"/>
          <w:sz w:val="24"/>
          <w:szCs w:val="24"/>
          <w:lang w:eastAsia="en-GB"/>
        </w:rPr>
        <w:t>Promoting and supporting mental health and wellbeing in schools and colleges (guidance for schools and colleges)</w:t>
      </w:r>
      <w:r w:rsidRPr="00F479B2">
        <w:t xml:space="preserve"> </w:t>
      </w:r>
      <w:hyperlink r:id="rId18" w:history="1">
        <w:r w:rsidRPr="00F479B2">
          <w:rPr>
            <w:rStyle w:val="Hyperlink"/>
            <w:rFonts w:ascii="SymbolMT" w:eastAsia="Times New Roman" w:hAnsi="SymbolMT" w:cs="Times New Roman"/>
            <w:color w:val="auto"/>
            <w:sz w:val="24"/>
            <w:szCs w:val="24"/>
            <w:lang w:eastAsia="en-GB"/>
          </w:rPr>
          <w:t>Promoting and supporting mental health and wellbeing in schools and colleges - GOV.UK (www.gov.uk)</w:t>
        </w:r>
      </w:hyperlink>
    </w:p>
    <w:p w14:paraId="4069A493"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Preventing and Tackling Bullying (advice for schools, including advice on cyberbullying) </w:t>
      </w:r>
      <w:hyperlink r:id="rId19" w:history="1">
        <w:r w:rsidRPr="00F479B2">
          <w:rPr>
            <w:rStyle w:val="Hyperlink"/>
            <w:rFonts w:ascii="ArialMT" w:eastAsia="Times New Roman" w:hAnsi="ArialMT" w:cs="Times New Roman"/>
            <w:color w:val="auto"/>
            <w:sz w:val="24"/>
            <w:szCs w:val="24"/>
            <w:lang w:eastAsia="en-GB"/>
          </w:rPr>
          <w:t>Preventing bullying - GOV.UK (www.gov.uk)</w:t>
        </w:r>
      </w:hyperlink>
    </w:p>
    <w:p w14:paraId="2FDB6908"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The Equality and Human Rights Commission Advice and Guidance (provides advice on avoiding discrimination in a variety of educational contexts) </w:t>
      </w:r>
      <w:hyperlink r:id="rId20" w:history="1">
        <w:r w:rsidRPr="00F479B2">
          <w:rPr>
            <w:rStyle w:val="Hyperlink"/>
            <w:rFonts w:ascii="ArialMT" w:eastAsia="Times New Roman" w:hAnsi="ArialMT" w:cs="Times New Roman"/>
            <w:color w:val="auto"/>
            <w:sz w:val="24"/>
            <w:szCs w:val="24"/>
            <w:lang w:eastAsia="en-GB"/>
          </w:rPr>
          <w:t>Advice and guidance | Equality and Human Rights Commission (equalityhumanrights.com)</w:t>
        </w:r>
      </w:hyperlink>
    </w:p>
    <w:p w14:paraId="0F591247"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Promoting Fundamental British Values as part of SMSC in schools (guidance for maintained schools on promoting basic important British values as part of pupils’ spiritual, moral, social and cultural (SMSC) </w:t>
      </w:r>
      <w:hyperlink r:id="rId21" w:history="1">
        <w:r w:rsidRPr="00F479B2">
          <w:rPr>
            <w:rStyle w:val="Hyperlink"/>
            <w:rFonts w:ascii="ArialMT" w:eastAsia="Times New Roman" w:hAnsi="ArialMT" w:cs="Times New Roman"/>
            <w:color w:val="auto"/>
            <w:sz w:val="24"/>
            <w:szCs w:val="24"/>
            <w:lang w:eastAsia="en-GB"/>
          </w:rPr>
          <w:t>Promoting fundamental British values through SMSC - GOV.UK (www.gov.uk)</w:t>
        </w:r>
      </w:hyperlink>
    </w:p>
    <w:p w14:paraId="671EF460" w14:textId="77777777" w:rsidR="00031923" w:rsidRPr="00F479B2" w:rsidRDefault="00031923" w:rsidP="00031923">
      <w:pPr>
        <w:numPr>
          <w:ilvl w:val="0"/>
          <w:numId w:val="33"/>
        </w:numPr>
        <w:spacing w:before="100" w:beforeAutospacing="1" w:after="100" w:afterAutospacing="1" w:line="240" w:lineRule="auto"/>
        <w:rPr>
          <w:rFonts w:ascii="SymbolMT" w:eastAsia="Times New Roman" w:hAnsi="SymbolMT" w:cs="Times New Roman"/>
          <w:sz w:val="24"/>
          <w:szCs w:val="24"/>
          <w:lang w:eastAsia="en-GB"/>
        </w:rPr>
      </w:pPr>
      <w:r w:rsidRPr="00F479B2">
        <w:rPr>
          <w:rFonts w:ascii="ArialMT" w:eastAsia="Times New Roman" w:hAnsi="ArialMT" w:cs="Times New Roman"/>
          <w:sz w:val="24"/>
          <w:szCs w:val="24"/>
          <w:lang w:eastAsia="en-GB"/>
        </w:rPr>
        <w:t xml:space="preserve">SMSC requirements for independent schools (guidance for independent schools on how they should support pupils' spiritual, moral, social and cultural development). </w:t>
      </w:r>
      <w:hyperlink r:id="rId22" w:history="1">
        <w:r w:rsidRPr="00F479B2">
          <w:rPr>
            <w:rStyle w:val="Hyperlink"/>
            <w:rFonts w:ascii="ArialMT" w:eastAsia="Times New Roman" w:hAnsi="ArialMT" w:cs="Times New Roman"/>
            <w:color w:val="auto"/>
            <w:sz w:val="24"/>
            <w:szCs w:val="24"/>
            <w:lang w:eastAsia="en-GB"/>
          </w:rPr>
          <w:t>Regulating independent schools - GOV.UK (www.gov.uk)</w:t>
        </w:r>
      </w:hyperlink>
    </w:p>
    <w:p w14:paraId="22DEE03B" w14:textId="5B4D0AFA" w:rsidR="00031923" w:rsidRPr="00D7267F" w:rsidRDefault="00031923" w:rsidP="00031923">
      <w:pPr>
        <w:spacing w:line="240" w:lineRule="auto"/>
        <w:rPr>
          <w:rFonts w:cstheme="minorHAnsi"/>
        </w:rPr>
      </w:pPr>
      <w:r w:rsidRPr="00F479B2">
        <w:rPr>
          <w:rFonts w:cstheme="minorHAnsi"/>
        </w:rPr>
        <w:lastRenderedPageBreak/>
        <w:t>The Jigsaw Programme is aligned to the PSHE Association Programmes of Study for PSHE.</w:t>
      </w:r>
      <w:r w:rsidRPr="00F479B2">
        <w:t xml:space="preserve"> </w:t>
      </w:r>
      <w:hyperlink r:id="rId23" w:history="1">
        <w:r w:rsidRPr="00F479B2">
          <w:rPr>
            <w:rStyle w:val="Hyperlink"/>
            <w:rFonts w:cstheme="minorHAnsi"/>
            <w:color w:val="auto"/>
          </w:rPr>
          <w:t>pshe-association-programme-of-study-2020-map.pdf</w:t>
        </w:r>
      </w:hyperlink>
    </w:p>
    <w:p w14:paraId="2BE51858" w14:textId="73443332"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02FF93AC" w:rsidR="00C83D35" w:rsidRDefault="006C7D7D">
      <w:pPr>
        <w:rPr>
          <w:rFonts w:eastAsia="Times New Roman" w:cstheme="minorHAnsi"/>
          <w:lang w:eastAsia="en-GB"/>
        </w:rPr>
      </w:pPr>
      <w:r w:rsidRPr="0055476E">
        <w:rPr>
          <w:rFonts w:eastAsia="Times New Roman" w:cstheme="minorHAnsi"/>
          <w:lang w:eastAsia="en-GB"/>
        </w:rPr>
        <w:t xml:space="preserve">At </w:t>
      </w:r>
      <w:proofErr w:type="spellStart"/>
      <w:r w:rsidR="00600ACC" w:rsidRPr="0055476E">
        <w:rPr>
          <w:rFonts w:eastAsia="Times New Roman" w:cstheme="minorHAnsi"/>
          <w:lang w:eastAsia="en-GB"/>
        </w:rPr>
        <w:t>Finstall</w:t>
      </w:r>
      <w:proofErr w:type="spellEnd"/>
      <w:r w:rsidR="00600ACC" w:rsidRPr="0055476E">
        <w:rPr>
          <w:rFonts w:eastAsia="Times New Roman" w:cstheme="minorHAnsi"/>
          <w:lang w:eastAsia="en-GB"/>
        </w:rPr>
        <w:t xml:space="preserve"> First</w:t>
      </w:r>
      <w:r w:rsidRPr="0055476E">
        <w:rPr>
          <w:rFonts w:eastAsia="Times New Roman" w:cstheme="minorHAnsi"/>
          <w:lang w:eastAsia="en-GB"/>
        </w:rPr>
        <w:t xml:space="preserve"> School we allocate </w:t>
      </w:r>
      <w:r w:rsidR="0055476E">
        <w:rPr>
          <w:rFonts w:eastAsia="Times New Roman" w:cstheme="minorHAnsi"/>
          <w:lang w:eastAsia="en-GB"/>
        </w:rPr>
        <w:t>at least 30 minutes</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21D0E216"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7CD43D67" w14:textId="7A0B6C89" w:rsidR="00281D36" w:rsidRPr="00974FA1" w:rsidRDefault="00ED56EC" w:rsidP="00974FA1">
      <w:pPr>
        <w:rPr>
          <w:rFonts w:eastAsia="Times New Roman" w:cstheme="minorHAnsi"/>
          <w:lang w:eastAsia="en-GB"/>
        </w:rPr>
      </w:pPr>
      <w:r>
        <w:rPr>
          <w:rFonts w:eastAsia="Times New Roman" w:cstheme="minorHAnsi"/>
          <w:lang w:eastAsia="en-GB"/>
        </w:rPr>
        <w:t xml:space="preserve">Class teachers </w:t>
      </w:r>
      <w:r w:rsidR="0055476E">
        <w:rPr>
          <w:rFonts w:eastAsia="Times New Roman" w:cstheme="minorHAnsi"/>
          <w:lang w:eastAsia="en-GB"/>
        </w:rPr>
        <w:t xml:space="preserve">or Teaching Assistants </w:t>
      </w:r>
      <w:r>
        <w:rPr>
          <w:rFonts w:eastAsia="Times New Roman" w:cstheme="minorHAnsi"/>
          <w:lang w:eastAsia="en-GB"/>
        </w:rPr>
        <w:t>deliver the weekly lessons to their own classes.</w:t>
      </w:r>
    </w:p>
    <w:p w14:paraId="17B3F116" w14:textId="77777777" w:rsidR="007D6B09" w:rsidRDefault="007D6B09" w:rsidP="00917BD5">
      <w:pPr>
        <w:spacing w:line="240" w:lineRule="auto"/>
        <w:rPr>
          <w:rFonts w:cstheme="minorHAnsi"/>
          <w:b/>
          <w:sz w:val="28"/>
        </w:rPr>
      </w:pPr>
    </w:p>
    <w:p w14:paraId="152E5B8F" w14:textId="77777777" w:rsidR="007D6B09" w:rsidRDefault="007D6B09" w:rsidP="00917BD5">
      <w:pPr>
        <w:spacing w:line="240" w:lineRule="auto"/>
        <w:rPr>
          <w:rFonts w:cstheme="minorHAnsi"/>
          <w:b/>
          <w:sz w:val="28"/>
        </w:rPr>
      </w:pPr>
    </w:p>
    <w:p w14:paraId="73A6E332" w14:textId="365871C8" w:rsidR="00BD3327" w:rsidRDefault="00BD3327" w:rsidP="00917BD5">
      <w:pPr>
        <w:spacing w:line="240" w:lineRule="auto"/>
        <w:rPr>
          <w:rFonts w:cstheme="minorHAnsi"/>
          <w:b/>
          <w:sz w:val="28"/>
        </w:rPr>
      </w:pPr>
      <w:r w:rsidRPr="00D7267F">
        <w:rPr>
          <w:rFonts w:cstheme="minorHAnsi"/>
          <w:b/>
          <w:sz w:val="28"/>
        </w:rPr>
        <w:lastRenderedPageBreak/>
        <w:t>Relationship</w:t>
      </w:r>
      <w:r w:rsidR="006C7D7D">
        <w:rPr>
          <w:rFonts w:cstheme="minorHAnsi"/>
          <w:b/>
          <w:sz w:val="28"/>
        </w:rPr>
        <w:t>s Education</w:t>
      </w:r>
    </w:p>
    <w:p w14:paraId="1804F34B" w14:textId="77777777" w:rsidR="007D6B09" w:rsidRPr="008F168F" w:rsidRDefault="007D6B09" w:rsidP="007D6B09">
      <w:pPr>
        <w:spacing w:line="240" w:lineRule="auto"/>
        <w:rPr>
          <w:rFonts w:cstheme="minorHAnsi"/>
          <w:b/>
        </w:rPr>
      </w:pPr>
      <w:r w:rsidRPr="008F168F">
        <w:rPr>
          <w:rFonts w:cstheme="minorHAnsi"/>
          <w:b/>
        </w:rPr>
        <w:t>Curriculum Rationale for Relationships and Sex Education</w:t>
      </w:r>
    </w:p>
    <w:p w14:paraId="10F63002" w14:textId="77777777" w:rsidR="007D6B09" w:rsidRPr="00796854" w:rsidRDefault="007D6B09" w:rsidP="007D6B09">
      <w:pPr>
        <w:spacing w:line="240" w:lineRule="auto"/>
        <w:rPr>
          <w:rFonts w:cstheme="minorHAnsi"/>
        </w:rPr>
      </w:pPr>
      <w:r>
        <w:rPr>
          <w:rFonts w:cstheme="minorHAnsi"/>
        </w:rPr>
        <w:t>R</w:t>
      </w:r>
      <w:r w:rsidRPr="00796854">
        <w:rPr>
          <w:rFonts w:cstheme="minorHAnsi"/>
        </w:rPr>
        <w:t>SE is lifelong learning that contributes to children’s physical, moral and emotional development. It develops children’s understanding of the importance of loving and caring relationships.</w:t>
      </w:r>
    </w:p>
    <w:p w14:paraId="4F9C7333" w14:textId="77777777" w:rsidR="007D6B09" w:rsidRPr="0053590E" w:rsidRDefault="007D6B09" w:rsidP="007D6B09">
      <w:pPr>
        <w:spacing w:line="240" w:lineRule="auto"/>
        <w:rPr>
          <w:rFonts w:cstheme="minorHAnsi"/>
          <w:u w:val="single"/>
        </w:rPr>
      </w:pPr>
      <w:r w:rsidRPr="0053590E">
        <w:rPr>
          <w:rFonts w:cstheme="minorHAnsi"/>
          <w:u w:val="single"/>
        </w:rPr>
        <w:t>Curriculum Intent</w:t>
      </w:r>
    </w:p>
    <w:p w14:paraId="3FFC4764" w14:textId="77777777" w:rsidR="007D6B09" w:rsidRPr="00796854" w:rsidRDefault="007D6B09" w:rsidP="007D6B09">
      <w:pPr>
        <w:spacing w:line="240" w:lineRule="auto"/>
        <w:rPr>
          <w:rFonts w:cstheme="minorHAnsi"/>
        </w:rPr>
      </w:pPr>
      <w:r w:rsidRPr="00796854">
        <w:rPr>
          <w:rFonts w:cstheme="minorHAnsi"/>
        </w:rPr>
        <w:t>To help foster children’s wellbeing and develop the resilience and character traits needed for them to be safe, happy and prepared for life beyond school. To achieve a good understanding of families, friendships and health (mental and physical) and to help them to become respectful individuals who persevere to reach their goals.</w:t>
      </w:r>
    </w:p>
    <w:p w14:paraId="4C4B9554" w14:textId="77777777" w:rsidR="007D6B09" w:rsidRPr="0053590E" w:rsidRDefault="007D6B09" w:rsidP="007D6B09">
      <w:pPr>
        <w:spacing w:line="240" w:lineRule="auto"/>
        <w:rPr>
          <w:rFonts w:cstheme="minorHAnsi"/>
          <w:u w:val="single"/>
        </w:rPr>
      </w:pPr>
      <w:r w:rsidRPr="0053590E">
        <w:rPr>
          <w:rFonts w:cstheme="minorHAnsi"/>
          <w:u w:val="single"/>
        </w:rPr>
        <w:t>Curriculum Implementation</w:t>
      </w:r>
    </w:p>
    <w:p w14:paraId="0AAC94BB" w14:textId="0AEB1918" w:rsidR="007D6B09" w:rsidRPr="00796854" w:rsidRDefault="007D6B09" w:rsidP="007D6B09">
      <w:pPr>
        <w:spacing w:line="240" w:lineRule="auto"/>
        <w:rPr>
          <w:rFonts w:cstheme="minorHAnsi"/>
        </w:rPr>
      </w:pPr>
      <w:r>
        <w:rPr>
          <w:rFonts w:cstheme="minorHAnsi"/>
        </w:rPr>
        <w:t xml:space="preserve">RSE is delivered in Years R </w:t>
      </w:r>
      <w:r w:rsidRPr="00796854">
        <w:rPr>
          <w:rFonts w:cstheme="minorHAnsi"/>
        </w:rPr>
        <w:t>-</w:t>
      </w:r>
      <w:r>
        <w:rPr>
          <w:rFonts w:cstheme="minorHAnsi"/>
        </w:rPr>
        <w:t xml:space="preserve"> </w:t>
      </w:r>
      <w:r w:rsidRPr="00796854">
        <w:rPr>
          <w:rFonts w:cstheme="minorHAnsi"/>
        </w:rPr>
        <w:t xml:space="preserve">4 within the ‘Jigsaw’ scheme </w:t>
      </w:r>
      <w:r>
        <w:rPr>
          <w:rFonts w:cstheme="minorHAnsi"/>
        </w:rPr>
        <w:t>puzzles (</w:t>
      </w:r>
      <w:r w:rsidRPr="00796854">
        <w:rPr>
          <w:rFonts w:cstheme="minorHAnsi"/>
        </w:rPr>
        <w:t>topics</w:t>
      </w:r>
      <w:r>
        <w:rPr>
          <w:rFonts w:cstheme="minorHAnsi"/>
        </w:rPr>
        <w:t>)</w:t>
      </w:r>
      <w:r w:rsidRPr="00796854">
        <w:rPr>
          <w:rFonts w:cstheme="minorHAnsi"/>
        </w:rPr>
        <w:t xml:space="preserve">; ‘Relationships’ and ‘Changing Me’. The topics are covered at the same time in each year group and are introduced through whole school assemblies which include the learning of topic relevant vocabulary. The Jigsaw scheme allows for regular opportunities to recap prior learning to ensure that key skills, knowledge and concepts are embedded in long-term memory. The RSE curriculum is </w:t>
      </w:r>
      <w:r w:rsidRPr="0055744F">
        <w:rPr>
          <w:rFonts w:cstheme="minorHAnsi"/>
        </w:rPr>
        <w:t>delivered by adults who develop strong, caring relationships with and between pupils. The learning environment fosters mutual and self-respect, tolerance and appreciation of differences. The Jigsaw scheme encourages a positive state of mind through a ‘</w:t>
      </w:r>
      <w:r>
        <w:rPr>
          <w:rFonts w:cstheme="minorHAnsi"/>
        </w:rPr>
        <w:t>Calm Me’</w:t>
      </w:r>
      <w:r w:rsidRPr="0055744F">
        <w:rPr>
          <w:rFonts w:cstheme="minorHAnsi"/>
        </w:rPr>
        <w:t xml:space="preserve"> aspect of each weekly session. ‘Mindfulness’ is promoted throughout the school through a variety of online activities such as ‘</w:t>
      </w:r>
      <w:proofErr w:type="spellStart"/>
      <w:r w:rsidRPr="0055744F">
        <w:rPr>
          <w:rFonts w:cstheme="minorHAnsi"/>
        </w:rPr>
        <w:t>GoNoodle</w:t>
      </w:r>
      <w:proofErr w:type="spellEnd"/>
      <w:r w:rsidRPr="0055744F">
        <w:rPr>
          <w:rFonts w:cstheme="minorHAnsi"/>
        </w:rPr>
        <w:t xml:space="preserve"> Yoga.’ SRE learning in Early Years is delivered in accordance with the ‘Early Years Foundation Stage’ curriculum and focuses on friendships, decision making and being healthy. Children take part in regular circle times and ‘Mindfulness’ activities.</w:t>
      </w:r>
      <w:r w:rsidRPr="00796854">
        <w:rPr>
          <w:rFonts w:cstheme="minorHAnsi"/>
        </w:rPr>
        <w:t xml:space="preserve"> </w:t>
      </w:r>
    </w:p>
    <w:p w14:paraId="19D27BEA" w14:textId="77777777" w:rsidR="007D6B09" w:rsidRPr="00796854" w:rsidRDefault="007D6B09" w:rsidP="007D6B09">
      <w:pPr>
        <w:spacing w:line="240" w:lineRule="auto"/>
        <w:rPr>
          <w:rFonts w:cstheme="minorHAnsi"/>
        </w:rPr>
      </w:pPr>
      <w:r w:rsidRPr="00796854">
        <w:rPr>
          <w:rFonts w:cstheme="minorHAnsi"/>
        </w:rPr>
        <w:t>Sex education is taught more explicitly and formalised towards the end of Year 4. Parents are informed and detailed content of the learning is explained to them. Different aspects of RSE are taught through the Science and PSHE curriculum. Formal vocabulary is taught e.g. names of body parts and this is recapped and developed further as children move through the school years. All year groups receive annual teaching, with support from the NSPCC, to develop their understanding and awareness of how to keep themselves safe.</w:t>
      </w:r>
    </w:p>
    <w:p w14:paraId="3AE87967" w14:textId="77777777" w:rsidR="007D6B09" w:rsidRPr="0053590E" w:rsidRDefault="007D6B09" w:rsidP="007D6B09">
      <w:pPr>
        <w:spacing w:line="240" w:lineRule="auto"/>
        <w:rPr>
          <w:rFonts w:cstheme="minorHAnsi"/>
          <w:u w:val="single"/>
        </w:rPr>
      </w:pPr>
      <w:r w:rsidRPr="0053590E">
        <w:rPr>
          <w:rFonts w:cstheme="minorHAnsi"/>
          <w:u w:val="single"/>
        </w:rPr>
        <w:t>Curriculum Impact</w:t>
      </w:r>
    </w:p>
    <w:p w14:paraId="03864382" w14:textId="77777777" w:rsidR="007D6B09" w:rsidRPr="00E21EA7" w:rsidRDefault="007D6B09" w:rsidP="007D6B09">
      <w:pPr>
        <w:spacing w:line="240" w:lineRule="auto"/>
        <w:rPr>
          <w:rFonts w:cstheme="minorHAnsi"/>
        </w:rPr>
      </w:pPr>
      <w:r w:rsidRPr="00796854">
        <w:rPr>
          <w:rFonts w:cstheme="minorHAnsi"/>
        </w:rPr>
        <w:t>The impact of the RSE curriculum is evidenced by the high</w:t>
      </w:r>
      <w:r>
        <w:rPr>
          <w:rFonts w:cstheme="minorHAnsi"/>
        </w:rPr>
        <w:t>-</w:t>
      </w:r>
      <w:r w:rsidRPr="00796854">
        <w:rPr>
          <w:rFonts w:cstheme="minorHAnsi"/>
        </w:rPr>
        <w:t xml:space="preserve">quality outcomes in all year groups, and particularly in Year 4, through children knowing more, understanding more and remembering more, with increasing confidence, resilience and independence. This can be seen in children’s work, collected in Class PSHE </w:t>
      </w:r>
      <w:r>
        <w:rPr>
          <w:rFonts w:cstheme="minorHAnsi"/>
        </w:rPr>
        <w:t>‘Jigsaw Journals,’</w:t>
      </w:r>
      <w:r w:rsidRPr="00796854">
        <w:rPr>
          <w:rFonts w:cstheme="minorHAnsi"/>
        </w:rPr>
        <w:t xml:space="preserve"> from talking to the children about what they have been learning and </w:t>
      </w:r>
      <w:r w:rsidRPr="00E21EA7">
        <w:rPr>
          <w:rFonts w:cstheme="minorHAnsi"/>
        </w:rPr>
        <w:t xml:space="preserve">from the assessments undertaken by Class Teachers at the end of each half termly unit. The </w:t>
      </w:r>
      <w:r w:rsidRPr="00121EF1">
        <w:rPr>
          <w:rFonts w:cstheme="minorHAnsi"/>
        </w:rPr>
        <w:t>percentages obtaining a good level of understanding and a deep level of understanding are analysed by the subject leader and show that almost all children in Years 1-4 achieve at least a good level of understanding and a very high % achieve a deep level of understanding. Similarly, almost all EYFS children achieve an expected level of development in Personal, Social and Emotional Development.</w:t>
      </w:r>
      <w:r w:rsidRPr="00E21EA7">
        <w:rPr>
          <w:rFonts w:cstheme="minorHAnsi"/>
        </w:rPr>
        <w:t xml:space="preserve"> </w:t>
      </w:r>
    </w:p>
    <w:p w14:paraId="50D87298" w14:textId="77777777" w:rsidR="007D6B09" w:rsidRPr="00796854" w:rsidRDefault="007D6B09" w:rsidP="007D6B09">
      <w:pPr>
        <w:spacing w:line="240" w:lineRule="auto"/>
        <w:rPr>
          <w:rFonts w:cstheme="minorHAnsi"/>
        </w:rPr>
      </w:pPr>
      <w:r w:rsidRPr="00796854">
        <w:rPr>
          <w:rFonts w:cstheme="minorHAnsi"/>
        </w:rPr>
        <w:t xml:space="preserve">The skills that children develop through their years at </w:t>
      </w:r>
      <w:proofErr w:type="spellStart"/>
      <w:r w:rsidRPr="00796854">
        <w:rPr>
          <w:rFonts w:cstheme="minorHAnsi"/>
        </w:rPr>
        <w:t>Finstall</w:t>
      </w:r>
      <w:proofErr w:type="spellEnd"/>
      <w:r w:rsidRPr="00796854">
        <w:rPr>
          <w:rFonts w:cstheme="minorHAnsi"/>
        </w:rPr>
        <w:t xml:space="preserve"> First School help them to become confident, resilient, independent and caring members of a society, in which they continue to succeed once they have left our School.  Our children are well equipped with the skills, knowledge and understanding they need to prepare them for life in Modern British society.</w:t>
      </w:r>
    </w:p>
    <w:p w14:paraId="417747A9" w14:textId="77777777" w:rsidR="007D6B09" w:rsidRPr="00D7267F" w:rsidRDefault="007D6B09" w:rsidP="00917BD5">
      <w:pPr>
        <w:spacing w:line="240" w:lineRule="auto"/>
        <w:rPr>
          <w:rFonts w:cstheme="minorHAnsi"/>
          <w:b/>
          <w:sz w:val="28"/>
        </w:rPr>
      </w:pPr>
    </w:p>
    <w:p w14:paraId="6D6D7D25" w14:textId="22100058" w:rsidR="00853729" w:rsidRPr="00853729" w:rsidRDefault="00853729" w:rsidP="00853729">
      <w:pPr>
        <w:spacing w:line="240" w:lineRule="auto"/>
        <w:rPr>
          <w:rFonts w:cstheme="minorHAnsi"/>
          <w:b/>
          <w:i/>
        </w:rPr>
      </w:pPr>
      <w:r w:rsidRPr="00853729">
        <w:rPr>
          <w:rFonts w:cstheme="minorHAnsi"/>
          <w:b/>
          <w:i/>
        </w:rPr>
        <w:lastRenderedPageBreak/>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59208D9A"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 xml:space="preserve">emotional and mental health is nurtured every lesson through the Calm me time, social skills are grown </w:t>
      </w:r>
      <w:r w:rsidR="004E3326">
        <w:rPr>
          <w:rFonts w:cstheme="minorHAnsi"/>
        </w:rPr>
        <w:t>t</w:t>
      </w:r>
      <w:r w:rsidR="00CF0C47">
        <w:rPr>
          <w:rFonts w:cstheme="minorHAnsi"/>
        </w:rPr>
        <w: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 xml:space="preserve">However, ‘Sex Education is not compulsory in primary </w:t>
      </w:r>
      <w:proofErr w:type="gramStart"/>
      <w:r>
        <w:rPr>
          <w:rFonts w:cstheme="minorHAnsi"/>
        </w:rPr>
        <w:t>schools’</w:t>
      </w:r>
      <w:proofErr w:type="gramEnd"/>
      <w:r>
        <w:rPr>
          <w:rFonts w:cstheme="minorHAnsi"/>
        </w:rPr>
        <w:t>.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02412402" w:rsidR="00CE099E" w:rsidRDefault="00CE099E" w:rsidP="00CE099E">
      <w:pPr>
        <w:spacing w:line="240" w:lineRule="auto"/>
        <w:rPr>
          <w:rFonts w:cstheme="minorHAnsi"/>
        </w:rPr>
      </w:pPr>
      <w:r>
        <w:rPr>
          <w:rFonts w:cstheme="minorHAnsi"/>
        </w:rPr>
        <w:t xml:space="preserve">At </w:t>
      </w:r>
      <w:proofErr w:type="spellStart"/>
      <w:r w:rsidR="00EF041D" w:rsidRPr="00EF041D">
        <w:rPr>
          <w:rFonts w:cstheme="minorHAnsi"/>
        </w:rPr>
        <w:t>Finstall</w:t>
      </w:r>
      <w:proofErr w:type="spellEnd"/>
      <w:r w:rsidR="00EF041D" w:rsidRPr="00EF041D">
        <w:rPr>
          <w:rFonts w:cstheme="minorHAnsi"/>
        </w:rPr>
        <w:t xml:space="preserve"> First</w:t>
      </w:r>
      <w:r w:rsidRPr="00EF041D">
        <w:rPr>
          <w:rFonts w:cstheme="minorHAnsi"/>
        </w:rPr>
        <w:t xml:space="preserve"> School</w:t>
      </w:r>
      <w:r w:rsidR="00CF0C47">
        <w:rPr>
          <w:rFonts w:cstheme="minorHAnsi"/>
        </w:rPr>
        <w:t>,</w:t>
      </w:r>
      <w:r>
        <w:rPr>
          <w:rFonts w:cstheme="minorHAnsi"/>
        </w:rPr>
        <w:t xml:space="preserve"> we believe children should understand the facts about human reproduction before they leave primary school </w:t>
      </w:r>
      <w:r w:rsidR="00EF041D">
        <w:rPr>
          <w:rFonts w:cstheme="minorHAnsi"/>
        </w:rPr>
        <w:t>so we teach this as part of PSHE.</w:t>
      </w:r>
    </w:p>
    <w:p w14:paraId="7BC314C3" w14:textId="77777777" w:rsidR="00755039" w:rsidRDefault="00755039" w:rsidP="00CE099E">
      <w:pPr>
        <w:spacing w:line="240" w:lineRule="auto"/>
        <w:rPr>
          <w:rFonts w:cstheme="minorHAnsi"/>
          <w:b/>
          <w:sz w:val="24"/>
          <w:szCs w:val="24"/>
        </w:rPr>
      </w:pPr>
    </w:p>
    <w:p w14:paraId="2B7CBCE9" w14:textId="711CDFD0" w:rsidR="00CE099E" w:rsidRPr="00CF0C47" w:rsidRDefault="00CE099E" w:rsidP="00CE099E">
      <w:pPr>
        <w:spacing w:line="240" w:lineRule="auto"/>
        <w:rPr>
          <w:rFonts w:cstheme="minorHAnsi"/>
          <w:b/>
          <w:sz w:val="24"/>
          <w:szCs w:val="24"/>
        </w:rPr>
      </w:pPr>
      <w:r w:rsidRPr="00CF0C47">
        <w:rPr>
          <w:rFonts w:cstheme="minorHAnsi"/>
          <w:b/>
          <w:sz w:val="24"/>
          <w:szCs w:val="24"/>
        </w:rPr>
        <w:lastRenderedPageBreak/>
        <w:t>Parents’ right to request their child be excused from Sex Education</w:t>
      </w:r>
    </w:p>
    <w:p w14:paraId="75C032B5" w14:textId="7C9233CC" w:rsidR="00CE099E" w:rsidRDefault="00CE099E" w:rsidP="00CE099E">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14:paraId="4B2F8584" w14:textId="77777777" w:rsidR="00176AEB" w:rsidRDefault="00CE099E" w:rsidP="00CE099E">
      <w:pPr>
        <w:spacing w:line="240" w:lineRule="auto"/>
        <w:rPr>
          <w:rFonts w:cstheme="minorHAnsi"/>
          <w:bCs/>
        </w:rPr>
      </w:pPr>
      <w:r w:rsidRPr="00176AEB">
        <w:rPr>
          <w:rFonts w:cstheme="minorHAnsi"/>
          <w:bCs/>
        </w:rPr>
        <w:t xml:space="preserve">At </w:t>
      </w:r>
      <w:proofErr w:type="spellStart"/>
      <w:r w:rsidR="00176AEB" w:rsidRPr="00176AEB">
        <w:rPr>
          <w:rFonts w:cstheme="minorHAnsi"/>
          <w:bCs/>
        </w:rPr>
        <w:t>Finstall</w:t>
      </w:r>
      <w:proofErr w:type="spellEnd"/>
      <w:r w:rsidR="00176AEB" w:rsidRPr="00176AEB">
        <w:rPr>
          <w:rFonts w:cstheme="minorHAnsi"/>
          <w:bCs/>
        </w:rPr>
        <w:t xml:space="preserve"> First</w:t>
      </w:r>
      <w:r w:rsidRPr="00176AEB">
        <w:rPr>
          <w:rFonts w:cstheme="minorHAnsi"/>
          <w:bCs/>
        </w:rPr>
        <w:t xml:space="preserve"> School</w:t>
      </w:r>
      <w:r>
        <w:rPr>
          <w:rFonts w:cstheme="minorHAnsi"/>
          <w:bCs/>
        </w:rPr>
        <w:t>,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w:t>
      </w:r>
    </w:p>
    <w:p w14:paraId="300E5D89" w14:textId="4E3C1E5E" w:rsidR="00CE099E" w:rsidRDefault="00DD673B" w:rsidP="00CE099E">
      <w:pPr>
        <w:spacing w:line="240" w:lineRule="auto"/>
        <w:rPr>
          <w:rFonts w:cstheme="minorHAnsi"/>
          <w:bCs/>
        </w:rPr>
      </w:pPr>
      <w:r>
        <w:rPr>
          <w:rFonts w:cstheme="minorHAnsi"/>
          <w:bCs/>
        </w:rPr>
        <w:t>W</w:t>
      </w:r>
      <w:r w:rsidR="00CE099E">
        <w:rPr>
          <w:rFonts w:cstheme="minorHAnsi"/>
          <w:bCs/>
        </w:rPr>
        <w:t>e conclude that sex education refers to Human Reproduction and</w:t>
      </w:r>
      <w:r w:rsidR="00514ABE">
        <w:rPr>
          <w:rFonts w:cstheme="minorHAnsi"/>
          <w:bCs/>
        </w:rPr>
        <w:t xml:space="preserve">, prior to us teaching this unit of work, we provide parents with access to the lesson content and the resources that we use. Parents will be informed, by letter, of their right </w:t>
      </w:r>
      <w:r w:rsidR="00CE099E">
        <w:rPr>
          <w:rFonts w:cstheme="minorHAnsi"/>
          <w:bCs/>
        </w:rPr>
        <w:t xml:space="preserve">to request </w:t>
      </w:r>
      <w:r w:rsidR="00514ABE">
        <w:rPr>
          <w:rFonts w:cstheme="minorHAnsi"/>
          <w:bCs/>
        </w:rPr>
        <w:t xml:space="preserve">that </w:t>
      </w:r>
      <w:r w:rsidR="00CE099E">
        <w:rPr>
          <w:rFonts w:cstheme="minorHAnsi"/>
          <w:bCs/>
        </w:rPr>
        <w:t xml:space="preserve">their child be withdrawn from the PSHE lessons that explicitly teach this </w:t>
      </w:r>
      <w:r w:rsidR="00514ABE">
        <w:rPr>
          <w:rFonts w:cstheme="minorHAnsi"/>
          <w:bCs/>
        </w:rPr>
        <w:t xml:space="preserve">aspect of the unit that relates to Sex Education, and refers to Human Reproduction - </w:t>
      </w:r>
      <w:r w:rsidR="00CE099E">
        <w:rPr>
          <w:rFonts w:cstheme="minorHAnsi"/>
          <w:bCs/>
        </w:rPr>
        <w:t>the Jigsaw Changing Me Puzzle (unit)</w:t>
      </w:r>
      <w:r w:rsidR="00176AEB">
        <w:rPr>
          <w:rFonts w:cstheme="minorHAnsi"/>
          <w:bCs/>
        </w:rPr>
        <w:t>:</w:t>
      </w:r>
    </w:p>
    <w:p w14:paraId="796CA9F1" w14:textId="4CC7EB5C" w:rsidR="0043584B" w:rsidRDefault="0043584B" w:rsidP="00CE099E">
      <w:pPr>
        <w:spacing w:line="240" w:lineRule="auto"/>
        <w:rPr>
          <w:rFonts w:cstheme="minorHAnsi"/>
          <w:bCs/>
          <w:iCs/>
        </w:rPr>
      </w:pPr>
      <w:r>
        <w:rPr>
          <w:rFonts w:cstheme="minorHAnsi"/>
          <w:bCs/>
          <w:iCs/>
        </w:rPr>
        <w:t>Year 4, Lesson 2 (Having a baby)</w:t>
      </w:r>
    </w:p>
    <w:p w14:paraId="5EAF6678" w14:textId="4B4B50D1" w:rsidR="00CE099E" w:rsidRDefault="00176AEB" w:rsidP="00CE099E">
      <w:pPr>
        <w:spacing w:line="240" w:lineRule="auto"/>
        <w:rPr>
          <w:rFonts w:cstheme="minorHAnsi"/>
          <w:bCs/>
          <w:iCs/>
        </w:rPr>
      </w:pPr>
      <w:r>
        <w:rPr>
          <w:rFonts w:cstheme="minorHAnsi"/>
          <w:bCs/>
          <w:iCs/>
        </w:rPr>
        <w:t>We do ask parents to discuss this with members of staff before reaching this decision.</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0A00468D" w14:textId="77777777" w:rsidR="00514ABE" w:rsidRDefault="002F17FD" w:rsidP="00514ABE">
      <w:pPr>
        <w:rPr>
          <w:rFonts w:cstheme="minorHAnsi"/>
          <w:b/>
          <w:iCs/>
        </w:rPr>
      </w:pPr>
      <w:r w:rsidRPr="00CE099E">
        <w:rPr>
          <w:rFonts w:cstheme="minorHAnsi"/>
          <w:b/>
          <w:iCs/>
        </w:rPr>
        <w:t>Equalit</w:t>
      </w:r>
      <w:r w:rsidR="00514ABE">
        <w:rPr>
          <w:rFonts w:cstheme="minorHAnsi"/>
          <w:b/>
          <w:iCs/>
        </w:rPr>
        <w:t>y</w:t>
      </w:r>
    </w:p>
    <w:p w14:paraId="04B05D92" w14:textId="0F3F49D6" w:rsidR="00477C7F" w:rsidRPr="00CE099E" w:rsidRDefault="00477C7F" w:rsidP="00514ABE">
      <w:pPr>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20DF819B" w:rsidR="00BD3327" w:rsidRDefault="00CE099E" w:rsidP="002F17FD">
      <w:pPr>
        <w:autoSpaceDE w:val="0"/>
        <w:autoSpaceDN w:val="0"/>
        <w:adjustRightInd w:val="0"/>
        <w:spacing w:after="0" w:line="240" w:lineRule="auto"/>
        <w:rPr>
          <w:rFonts w:cstheme="minorHAnsi"/>
          <w:bCs/>
        </w:rPr>
      </w:pPr>
      <w:r w:rsidRPr="00CE099E">
        <w:rPr>
          <w:rFonts w:cstheme="minorHAnsi"/>
          <w:bCs/>
        </w:rPr>
        <w:t xml:space="preserve">At </w:t>
      </w:r>
      <w:proofErr w:type="spellStart"/>
      <w:r w:rsidR="00514ABE">
        <w:rPr>
          <w:rFonts w:cstheme="minorHAnsi"/>
          <w:bCs/>
        </w:rPr>
        <w:t>Finstall</w:t>
      </w:r>
      <w:proofErr w:type="spellEnd"/>
      <w:r w:rsidR="00514ABE">
        <w:rPr>
          <w:rFonts w:cstheme="minorHAnsi"/>
          <w:bCs/>
        </w:rPr>
        <w:t xml:space="preserve"> First</w:t>
      </w:r>
      <w:r w:rsidRPr="00CE099E">
        <w:rPr>
          <w:rFonts w:cstheme="minorHAnsi"/>
          <w:bCs/>
        </w:rPr>
        <w:t xml:space="preserve"> School</w:t>
      </w:r>
      <w:r w:rsidR="00514ABE">
        <w:rPr>
          <w:rFonts w:cstheme="minorHAnsi"/>
          <w:bCs/>
        </w:rPr>
        <w:t>,</w:t>
      </w:r>
      <w:r w:rsidRPr="00CE099E">
        <w:rPr>
          <w:rFonts w:cstheme="minorHAnsi"/>
          <w:bCs/>
        </w:rPr>
        <w:t xml:space="preserve">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AE506BC" w14:textId="77777777" w:rsidR="00EF5A84" w:rsidRDefault="00EF5A84" w:rsidP="0027651A">
      <w:pPr>
        <w:spacing w:line="240" w:lineRule="auto"/>
        <w:rPr>
          <w:rFonts w:cstheme="minorHAnsi"/>
          <w:b/>
          <w:sz w:val="28"/>
        </w:rPr>
      </w:pPr>
    </w:p>
    <w:p w14:paraId="212D85A6" w14:textId="77777777" w:rsidR="00EF5A84" w:rsidRDefault="00EF5A84" w:rsidP="0027651A">
      <w:pPr>
        <w:spacing w:line="240" w:lineRule="auto"/>
        <w:rPr>
          <w:rFonts w:cstheme="minorHAnsi"/>
          <w:b/>
          <w:sz w:val="28"/>
        </w:rPr>
      </w:pPr>
    </w:p>
    <w:p w14:paraId="783446B8" w14:textId="3F404F43"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w:t>
      </w:r>
      <w:r w:rsidRPr="00514ABE">
        <w:rPr>
          <w:rFonts w:cstheme="minorHAnsi"/>
        </w:rPr>
        <w:t>reviewed 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6"/>
        <w:gridCol w:w="2562"/>
        <w:gridCol w:w="2551"/>
      </w:tblGrid>
      <w:tr w:rsidR="0027651A" w:rsidRPr="00D7267F" w14:paraId="1FEDCB68" w14:textId="77777777" w:rsidTr="00703411">
        <w:tc>
          <w:tcPr>
            <w:tcW w:w="0" w:type="auto"/>
          </w:tcPr>
          <w:p w14:paraId="2D8886E0" w14:textId="77777777" w:rsidR="0027651A" w:rsidRPr="00D7267F" w:rsidRDefault="0027651A" w:rsidP="00100409">
            <w:pPr>
              <w:spacing w:line="240" w:lineRule="auto"/>
              <w:rPr>
                <w:rFonts w:cstheme="minorHAnsi"/>
              </w:rPr>
            </w:pPr>
          </w:p>
        </w:tc>
        <w:tc>
          <w:tcPr>
            <w:tcW w:w="2562" w:type="dxa"/>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2551" w:type="dxa"/>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703411">
        <w:tc>
          <w:tcPr>
            <w:tcW w:w="0" w:type="auto"/>
          </w:tcPr>
          <w:p w14:paraId="1E6D846E" w14:textId="77777777" w:rsidR="0027651A" w:rsidRDefault="0027651A" w:rsidP="00100409">
            <w:pPr>
              <w:spacing w:line="240" w:lineRule="auto"/>
              <w:rPr>
                <w:rFonts w:cstheme="minorHAnsi"/>
              </w:rPr>
            </w:pPr>
            <w:r w:rsidRPr="00D7267F">
              <w:rPr>
                <w:rFonts w:cstheme="minorHAnsi"/>
              </w:rPr>
              <w:t>Date of review:</w:t>
            </w:r>
          </w:p>
          <w:p w14:paraId="12455CAC" w14:textId="420209EC" w:rsidR="0050486F" w:rsidRDefault="0050486F" w:rsidP="00100409">
            <w:pPr>
              <w:spacing w:line="240" w:lineRule="auto"/>
              <w:rPr>
                <w:rFonts w:cstheme="minorHAnsi"/>
              </w:rPr>
            </w:pPr>
            <w:r>
              <w:rPr>
                <w:rFonts w:cstheme="minorHAnsi"/>
              </w:rPr>
              <w:t>16/05/24 Curriculum Sub Committee</w:t>
            </w:r>
          </w:p>
          <w:p w14:paraId="00A123D6" w14:textId="425E8EB8" w:rsidR="0050486F" w:rsidRPr="00D7267F" w:rsidRDefault="0050486F" w:rsidP="00100409">
            <w:pPr>
              <w:spacing w:line="240" w:lineRule="auto"/>
              <w:rPr>
                <w:rFonts w:cstheme="minorHAnsi"/>
              </w:rPr>
            </w:pPr>
            <w:r>
              <w:rPr>
                <w:rFonts w:cstheme="minorHAnsi"/>
              </w:rPr>
              <w:t xml:space="preserve">13/06/24 Full Governors </w:t>
            </w:r>
          </w:p>
        </w:tc>
        <w:tc>
          <w:tcPr>
            <w:tcW w:w="2562" w:type="dxa"/>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2551" w:type="dxa"/>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703411">
        <w:tc>
          <w:tcPr>
            <w:tcW w:w="0" w:type="auto"/>
          </w:tcPr>
          <w:p w14:paraId="0E7288F4" w14:textId="634376A7" w:rsidR="0027651A" w:rsidRDefault="0027651A" w:rsidP="00100409">
            <w:pPr>
              <w:spacing w:line="240" w:lineRule="auto"/>
              <w:rPr>
                <w:rFonts w:cstheme="minorHAnsi"/>
              </w:rPr>
            </w:pPr>
            <w:r w:rsidRPr="00D7267F">
              <w:rPr>
                <w:rFonts w:cstheme="minorHAnsi"/>
              </w:rPr>
              <w:t>Date of next review:</w:t>
            </w:r>
          </w:p>
          <w:p w14:paraId="5AFC9E8E" w14:textId="1C9ED4CB" w:rsidR="0027651A" w:rsidRPr="00D7267F" w:rsidRDefault="0050486F" w:rsidP="0050486F">
            <w:pPr>
              <w:spacing w:line="240" w:lineRule="auto"/>
              <w:rPr>
                <w:rFonts w:cstheme="minorHAnsi"/>
              </w:rPr>
            </w:pPr>
            <w:r>
              <w:rPr>
                <w:rFonts w:cstheme="minorHAnsi"/>
              </w:rPr>
              <w:t>May 2025</w:t>
            </w:r>
          </w:p>
        </w:tc>
        <w:tc>
          <w:tcPr>
            <w:tcW w:w="2562" w:type="dxa"/>
          </w:tcPr>
          <w:p w14:paraId="285B83FB" w14:textId="77777777" w:rsidR="0027651A" w:rsidRPr="00D7267F" w:rsidRDefault="0027651A" w:rsidP="00100409">
            <w:pPr>
              <w:spacing w:line="240" w:lineRule="auto"/>
              <w:rPr>
                <w:rFonts w:cstheme="minorHAnsi"/>
              </w:rPr>
            </w:pPr>
          </w:p>
        </w:tc>
        <w:tc>
          <w:tcPr>
            <w:tcW w:w="2551" w:type="dxa"/>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3274A197" w14:textId="77777777" w:rsidR="008226F2" w:rsidRPr="00EF5A84" w:rsidRDefault="008226F2" w:rsidP="008226F2">
      <w:pPr>
        <w:spacing w:line="240" w:lineRule="auto"/>
        <w:rPr>
          <w:rFonts w:cstheme="minorHAnsi"/>
        </w:rPr>
      </w:pPr>
    </w:p>
    <w:p w14:paraId="044759CE" w14:textId="77777777" w:rsidR="00031923" w:rsidRPr="00EF5A84" w:rsidRDefault="00031923" w:rsidP="00031923">
      <w:pPr>
        <w:pStyle w:val="ListParagraph"/>
        <w:numPr>
          <w:ilvl w:val="0"/>
          <w:numId w:val="35"/>
        </w:numPr>
        <w:spacing w:line="240" w:lineRule="auto"/>
        <w:rPr>
          <w:rFonts w:cstheme="minorHAnsi"/>
        </w:rPr>
      </w:pPr>
      <w:r w:rsidRPr="00EF5A84">
        <w:rPr>
          <w:rFonts w:cstheme="minorHAnsi"/>
        </w:rPr>
        <w:t xml:space="preserve">Jigsaw 3-11 and statutory Relationships and Health Education (mapping document) </w:t>
      </w:r>
      <w:hyperlink r:id="rId24" w:history="1">
        <w:r w:rsidRPr="00EF5A84">
          <w:rPr>
            <w:rStyle w:val="Hyperlink"/>
            <w:rFonts w:cstheme="minorHAnsi"/>
            <w:color w:val="auto"/>
          </w:rPr>
          <w:t>jigsaw-3-11-and-rshe-overview-map.pdf (windows.net)</w:t>
        </w:r>
      </w:hyperlink>
    </w:p>
    <w:p w14:paraId="0C3910D4" w14:textId="77777777" w:rsidR="00031923" w:rsidRPr="00EF5A84" w:rsidRDefault="00031923" w:rsidP="00031923">
      <w:pPr>
        <w:pStyle w:val="ListParagraph"/>
        <w:spacing w:line="240" w:lineRule="auto"/>
        <w:rPr>
          <w:rFonts w:cstheme="minorHAnsi"/>
        </w:rPr>
      </w:pPr>
    </w:p>
    <w:p w14:paraId="12F23533" w14:textId="35F82891" w:rsidR="00031923" w:rsidRPr="00EF5A84" w:rsidRDefault="00031923" w:rsidP="00031923">
      <w:pPr>
        <w:pStyle w:val="ListParagraph"/>
        <w:numPr>
          <w:ilvl w:val="0"/>
          <w:numId w:val="35"/>
        </w:numPr>
        <w:spacing w:line="240" w:lineRule="auto"/>
        <w:rPr>
          <w:rFonts w:cstheme="minorHAnsi"/>
        </w:rPr>
      </w:pPr>
      <w:r w:rsidRPr="00EF5A84">
        <w:rPr>
          <w:rFonts w:cstheme="minorHAnsi"/>
          <w:bCs/>
        </w:rPr>
        <w:t>Including and valuing all children. What does Jigsaw teach about LGBT+ relationships?</w:t>
      </w:r>
      <w:r w:rsidRPr="00EF5A84">
        <w:t xml:space="preserve"> </w:t>
      </w:r>
      <w:hyperlink r:id="rId25" w:history="1">
        <w:r w:rsidRPr="00EF5A84">
          <w:rPr>
            <w:rStyle w:val="Hyperlink"/>
            <w:rFonts w:cstheme="minorHAnsi"/>
            <w:bCs/>
            <w:color w:val="auto"/>
          </w:rPr>
          <w:t>rshe-a-guide-for-parents-and-carers-leaflet-2020.pdf (windows.net)</w:t>
        </w:r>
      </w:hyperlink>
    </w:p>
    <w:p w14:paraId="1C11A130" w14:textId="2B9C9E60" w:rsidR="00031923" w:rsidRPr="008226F2" w:rsidRDefault="00031923" w:rsidP="008226F2">
      <w:pPr>
        <w:spacing w:line="240" w:lineRule="auto"/>
        <w:rPr>
          <w:rFonts w:cstheme="minorHAnsi"/>
        </w:rPr>
        <w:sectPr w:rsidR="00031923" w:rsidRPr="008226F2">
          <w:footerReference w:type="default" r:id="rId26"/>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6BE8" w14:textId="77777777" w:rsidR="006556A9" w:rsidRDefault="006556A9" w:rsidP="00644263">
      <w:pPr>
        <w:spacing w:after="0" w:line="240" w:lineRule="auto"/>
      </w:pPr>
      <w:r>
        <w:separator/>
      </w:r>
    </w:p>
  </w:endnote>
  <w:endnote w:type="continuationSeparator" w:id="0">
    <w:p w14:paraId="39CB2252" w14:textId="77777777" w:rsidR="006556A9" w:rsidRDefault="006556A9"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9293" w14:textId="3AB41957" w:rsidR="00C20178" w:rsidRDefault="00C20178" w:rsidP="00C20178">
    <w:pPr>
      <w:pStyle w:val="Footer"/>
      <w:jc w:val="center"/>
    </w:pPr>
    <w:r>
      <w:t xml:space="preserve">Copyright </w:t>
    </w:r>
    <w:r w:rsidR="00046A23">
      <w:t>© 20</w:t>
    </w:r>
    <w:r w:rsidR="000A522E">
      <w:t>2</w:t>
    </w:r>
    <w:r w:rsidR="00AE253C">
      <w:t>3</w:t>
    </w:r>
    <w:r w:rsidR="00046A23">
      <w:t xml:space="preserve"> </w:t>
    </w:r>
    <w:r>
      <w:t>Jigsaw PSHE Ltd</w:t>
    </w:r>
  </w:p>
  <w:p w14:paraId="3B878038" w14:textId="74F3BBCC" w:rsidR="00974E44" w:rsidRPr="00804343" w:rsidRDefault="00804343" w:rsidP="00804343">
    <w:pPr>
      <w:pStyle w:val="Footer"/>
      <w:jc w:val="center"/>
      <w:rPr>
        <w:sz w:val="16"/>
        <w:szCs w:val="16"/>
      </w:rPr>
    </w:pPr>
    <w:r w:rsidRPr="00804343">
      <w:rPr>
        <w:sz w:val="16"/>
        <w:szCs w:val="16"/>
      </w:rPr>
      <w:t xml:space="preserve">Template Version </w:t>
    </w:r>
    <w:r w:rsidR="002D6A89">
      <w:rPr>
        <w:sz w:val="16"/>
        <w:szCs w:val="16"/>
      </w:rPr>
      <w:t>v</w:t>
    </w:r>
    <w:r w:rsidR="00227C30">
      <w:rPr>
        <w:sz w:val="16"/>
        <w:szCs w:val="16"/>
      </w:rPr>
      <w:t xml:space="preserve"> 20230210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957C" w14:textId="77777777" w:rsidR="00C20178" w:rsidRDefault="00C20178" w:rsidP="00C20178">
    <w:pPr>
      <w:pStyle w:val="Footer"/>
      <w:jc w:val="center"/>
    </w:pPr>
    <w:r>
      <w:t xml:space="preserve">Copyright </w:t>
    </w:r>
    <w:r w:rsidR="00046A23">
      <w:t xml:space="preserve">© 2020 </w:t>
    </w:r>
    <w:r>
      <w:t>Jigsaw PSHE Ltd</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028ED" w14:textId="77777777" w:rsidR="006556A9" w:rsidRDefault="006556A9" w:rsidP="00644263">
      <w:pPr>
        <w:spacing w:after="0" w:line="240" w:lineRule="auto"/>
      </w:pPr>
      <w:r>
        <w:separator/>
      </w:r>
    </w:p>
  </w:footnote>
  <w:footnote w:type="continuationSeparator" w:id="0">
    <w:p w14:paraId="524FFC22" w14:textId="77777777" w:rsidR="006556A9" w:rsidRDefault="006556A9"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7C418C"/>
    <w:multiLevelType w:val="hybridMultilevel"/>
    <w:tmpl w:val="979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8"/>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2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12763"/>
    <w:rsid w:val="000155FB"/>
    <w:rsid w:val="00031923"/>
    <w:rsid w:val="00046A23"/>
    <w:rsid w:val="000544EA"/>
    <w:rsid w:val="00060FF3"/>
    <w:rsid w:val="00062AD6"/>
    <w:rsid w:val="00073BE5"/>
    <w:rsid w:val="00087D1F"/>
    <w:rsid w:val="000A0702"/>
    <w:rsid w:val="000A522E"/>
    <w:rsid w:val="000B7462"/>
    <w:rsid w:val="000C0139"/>
    <w:rsid w:val="000C170D"/>
    <w:rsid w:val="000C1E11"/>
    <w:rsid w:val="000D12D9"/>
    <w:rsid w:val="000E3BCE"/>
    <w:rsid w:val="000F5489"/>
    <w:rsid w:val="000F551C"/>
    <w:rsid w:val="001141B6"/>
    <w:rsid w:val="00125FCF"/>
    <w:rsid w:val="0016491C"/>
    <w:rsid w:val="0017200A"/>
    <w:rsid w:val="00176AEB"/>
    <w:rsid w:val="0018147E"/>
    <w:rsid w:val="00191ED2"/>
    <w:rsid w:val="001A0B56"/>
    <w:rsid w:val="001A0BF1"/>
    <w:rsid w:val="001B05E7"/>
    <w:rsid w:val="001D4693"/>
    <w:rsid w:val="001F074B"/>
    <w:rsid w:val="002044C4"/>
    <w:rsid w:val="00224706"/>
    <w:rsid w:val="0022716D"/>
    <w:rsid w:val="002273B5"/>
    <w:rsid w:val="00227C30"/>
    <w:rsid w:val="00234271"/>
    <w:rsid w:val="00252AA1"/>
    <w:rsid w:val="0027651A"/>
    <w:rsid w:val="00281D36"/>
    <w:rsid w:val="002C013D"/>
    <w:rsid w:val="002D1B04"/>
    <w:rsid w:val="002D6A89"/>
    <w:rsid w:val="002F17FD"/>
    <w:rsid w:val="002F5329"/>
    <w:rsid w:val="003120B7"/>
    <w:rsid w:val="003275D2"/>
    <w:rsid w:val="00332EE8"/>
    <w:rsid w:val="003514C4"/>
    <w:rsid w:val="003A16E0"/>
    <w:rsid w:val="004003D9"/>
    <w:rsid w:val="00416A74"/>
    <w:rsid w:val="00431834"/>
    <w:rsid w:val="0043584B"/>
    <w:rsid w:val="00446F45"/>
    <w:rsid w:val="00451A5E"/>
    <w:rsid w:val="00477C7F"/>
    <w:rsid w:val="004804E9"/>
    <w:rsid w:val="004A29B3"/>
    <w:rsid w:val="004A7EE1"/>
    <w:rsid w:val="004B294A"/>
    <w:rsid w:val="004B328B"/>
    <w:rsid w:val="004D4E4F"/>
    <w:rsid w:val="004E038C"/>
    <w:rsid w:val="004E3326"/>
    <w:rsid w:val="004E4625"/>
    <w:rsid w:val="004E4B61"/>
    <w:rsid w:val="004E6366"/>
    <w:rsid w:val="004E6B81"/>
    <w:rsid w:val="005027B7"/>
    <w:rsid w:val="0050486F"/>
    <w:rsid w:val="005049D2"/>
    <w:rsid w:val="00514ABE"/>
    <w:rsid w:val="005153CA"/>
    <w:rsid w:val="005204FB"/>
    <w:rsid w:val="00521E78"/>
    <w:rsid w:val="005259E4"/>
    <w:rsid w:val="005321C7"/>
    <w:rsid w:val="00534B6E"/>
    <w:rsid w:val="00537559"/>
    <w:rsid w:val="00540026"/>
    <w:rsid w:val="00546A81"/>
    <w:rsid w:val="0055476E"/>
    <w:rsid w:val="005601DE"/>
    <w:rsid w:val="00590156"/>
    <w:rsid w:val="00592A68"/>
    <w:rsid w:val="00596B33"/>
    <w:rsid w:val="005973C8"/>
    <w:rsid w:val="005A6816"/>
    <w:rsid w:val="005B4EC5"/>
    <w:rsid w:val="005C39AF"/>
    <w:rsid w:val="005D0FD6"/>
    <w:rsid w:val="005D1E24"/>
    <w:rsid w:val="005E60F1"/>
    <w:rsid w:val="005F6A8F"/>
    <w:rsid w:val="00600ACC"/>
    <w:rsid w:val="00603F15"/>
    <w:rsid w:val="006215D2"/>
    <w:rsid w:val="00644263"/>
    <w:rsid w:val="00654BD8"/>
    <w:rsid w:val="006556A9"/>
    <w:rsid w:val="00662238"/>
    <w:rsid w:val="0067219D"/>
    <w:rsid w:val="00673DE5"/>
    <w:rsid w:val="006A586F"/>
    <w:rsid w:val="006C7D7D"/>
    <w:rsid w:val="006D2AAE"/>
    <w:rsid w:val="006D2BD4"/>
    <w:rsid w:val="006F7AE2"/>
    <w:rsid w:val="00703411"/>
    <w:rsid w:val="0071405C"/>
    <w:rsid w:val="0072558E"/>
    <w:rsid w:val="0073222D"/>
    <w:rsid w:val="00734BB5"/>
    <w:rsid w:val="0075081B"/>
    <w:rsid w:val="00755039"/>
    <w:rsid w:val="00763DF5"/>
    <w:rsid w:val="007647F8"/>
    <w:rsid w:val="00770B09"/>
    <w:rsid w:val="007A2039"/>
    <w:rsid w:val="007A71E8"/>
    <w:rsid w:val="007B6DCB"/>
    <w:rsid w:val="007C2554"/>
    <w:rsid w:val="007C38AE"/>
    <w:rsid w:val="007D6B09"/>
    <w:rsid w:val="007F127F"/>
    <w:rsid w:val="007F6ABD"/>
    <w:rsid w:val="00804343"/>
    <w:rsid w:val="00811F8C"/>
    <w:rsid w:val="00812C7B"/>
    <w:rsid w:val="00813091"/>
    <w:rsid w:val="0082237A"/>
    <w:rsid w:val="008226F2"/>
    <w:rsid w:val="008260DC"/>
    <w:rsid w:val="00827042"/>
    <w:rsid w:val="008371B9"/>
    <w:rsid w:val="00837716"/>
    <w:rsid w:val="00853729"/>
    <w:rsid w:val="00854148"/>
    <w:rsid w:val="008562B3"/>
    <w:rsid w:val="00863F5E"/>
    <w:rsid w:val="008664B9"/>
    <w:rsid w:val="00894C1B"/>
    <w:rsid w:val="008A4C62"/>
    <w:rsid w:val="008A5198"/>
    <w:rsid w:val="008B771A"/>
    <w:rsid w:val="008C6A35"/>
    <w:rsid w:val="008D01AE"/>
    <w:rsid w:val="008E55F1"/>
    <w:rsid w:val="008F23C3"/>
    <w:rsid w:val="008F49B2"/>
    <w:rsid w:val="008F76B3"/>
    <w:rsid w:val="0090364C"/>
    <w:rsid w:val="00904295"/>
    <w:rsid w:val="0091076E"/>
    <w:rsid w:val="00917BD5"/>
    <w:rsid w:val="009345F1"/>
    <w:rsid w:val="0094083A"/>
    <w:rsid w:val="00946FB0"/>
    <w:rsid w:val="00962683"/>
    <w:rsid w:val="0096325F"/>
    <w:rsid w:val="00974E44"/>
    <w:rsid w:val="00974FA1"/>
    <w:rsid w:val="009848C4"/>
    <w:rsid w:val="009B041F"/>
    <w:rsid w:val="009B0C8E"/>
    <w:rsid w:val="009B12A4"/>
    <w:rsid w:val="009B74B9"/>
    <w:rsid w:val="009C75E1"/>
    <w:rsid w:val="009D10F2"/>
    <w:rsid w:val="009E49F4"/>
    <w:rsid w:val="009F05B6"/>
    <w:rsid w:val="009F5EE0"/>
    <w:rsid w:val="00A151A0"/>
    <w:rsid w:val="00A22E7D"/>
    <w:rsid w:val="00A42CAC"/>
    <w:rsid w:val="00A43F40"/>
    <w:rsid w:val="00A55069"/>
    <w:rsid w:val="00A56A3D"/>
    <w:rsid w:val="00A57CB2"/>
    <w:rsid w:val="00A627C0"/>
    <w:rsid w:val="00A66EC9"/>
    <w:rsid w:val="00A72296"/>
    <w:rsid w:val="00A809E7"/>
    <w:rsid w:val="00A85836"/>
    <w:rsid w:val="00AA4FF6"/>
    <w:rsid w:val="00AC5DEB"/>
    <w:rsid w:val="00AC6C09"/>
    <w:rsid w:val="00AE253C"/>
    <w:rsid w:val="00B07C08"/>
    <w:rsid w:val="00B134E5"/>
    <w:rsid w:val="00B321CF"/>
    <w:rsid w:val="00B55E80"/>
    <w:rsid w:val="00B5742B"/>
    <w:rsid w:val="00B929EC"/>
    <w:rsid w:val="00BA3DAA"/>
    <w:rsid w:val="00BB203E"/>
    <w:rsid w:val="00BB6D8C"/>
    <w:rsid w:val="00BD1F79"/>
    <w:rsid w:val="00BD3327"/>
    <w:rsid w:val="00C14E4C"/>
    <w:rsid w:val="00C20178"/>
    <w:rsid w:val="00C36E86"/>
    <w:rsid w:val="00C42485"/>
    <w:rsid w:val="00C4289D"/>
    <w:rsid w:val="00C56167"/>
    <w:rsid w:val="00C70C3F"/>
    <w:rsid w:val="00C769D3"/>
    <w:rsid w:val="00C83D35"/>
    <w:rsid w:val="00C87998"/>
    <w:rsid w:val="00C9458E"/>
    <w:rsid w:val="00C9563B"/>
    <w:rsid w:val="00CB0B9D"/>
    <w:rsid w:val="00CC1848"/>
    <w:rsid w:val="00CD0B7E"/>
    <w:rsid w:val="00CE099E"/>
    <w:rsid w:val="00CE1821"/>
    <w:rsid w:val="00CF0C47"/>
    <w:rsid w:val="00CF3BFA"/>
    <w:rsid w:val="00D1227C"/>
    <w:rsid w:val="00D255B8"/>
    <w:rsid w:val="00D31360"/>
    <w:rsid w:val="00D428A7"/>
    <w:rsid w:val="00D42978"/>
    <w:rsid w:val="00D44141"/>
    <w:rsid w:val="00D662BF"/>
    <w:rsid w:val="00D70675"/>
    <w:rsid w:val="00D7267F"/>
    <w:rsid w:val="00D81EF2"/>
    <w:rsid w:val="00D903A1"/>
    <w:rsid w:val="00D92C63"/>
    <w:rsid w:val="00D932A0"/>
    <w:rsid w:val="00DA53DD"/>
    <w:rsid w:val="00DC1CE5"/>
    <w:rsid w:val="00DD673B"/>
    <w:rsid w:val="00E06E73"/>
    <w:rsid w:val="00E3315B"/>
    <w:rsid w:val="00E46A58"/>
    <w:rsid w:val="00E5732B"/>
    <w:rsid w:val="00E601AC"/>
    <w:rsid w:val="00E61ADB"/>
    <w:rsid w:val="00E647B5"/>
    <w:rsid w:val="00E7094B"/>
    <w:rsid w:val="00E7429A"/>
    <w:rsid w:val="00E84349"/>
    <w:rsid w:val="00E86589"/>
    <w:rsid w:val="00E964FA"/>
    <w:rsid w:val="00EC763C"/>
    <w:rsid w:val="00ED38BC"/>
    <w:rsid w:val="00ED56EC"/>
    <w:rsid w:val="00ED64B7"/>
    <w:rsid w:val="00EF041D"/>
    <w:rsid w:val="00EF5A84"/>
    <w:rsid w:val="00F10503"/>
    <w:rsid w:val="00F315C5"/>
    <w:rsid w:val="00F368D8"/>
    <w:rsid w:val="00F479B2"/>
    <w:rsid w:val="00F7710B"/>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uidance/mental-health-and-wellbeing-support-in-schools-and-colleg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promoting-fundamental-british-values-through-smsc" TargetMode="External"/><Relationship Id="rId7" Type="http://schemas.openxmlformats.org/officeDocument/2006/relationships/endnotes" Target="endnotes.xml"/><Relationship Id="rId12" Type="http://schemas.openxmlformats.org/officeDocument/2006/relationships/hyperlink" Target="https://www.gov.uk/government/publications/behaviour-in-schools--2" TargetMode="External"/><Relationship Id="rId17" Type="http://schemas.openxmlformats.org/officeDocument/2006/relationships/hyperlink" Target="https://www.nice.org.uk/guidance/ng223" TargetMode="External"/><Relationship Id="rId25" Type="http://schemas.openxmlformats.org/officeDocument/2006/relationships/hyperlink" Target="https://jigsawlivestcmsuk.blob.core.windows.net/umbraco-media/atgbleek/rshe-a-guide-for-parents-and-carers-leaflet-2020.pdf" TargetMode="External"/><Relationship Id="rId2" Type="http://schemas.openxmlformats.org/officeDocument/2006/relationships/numbering" Target="numbering.xml"/><Relationship Id="rId16" Type="http://schemas.openxmlformats.org/officeDocument/2006/relationships/hyperlink" Target="https://www.gov.uk/government/publications/mental-health-and-behaviour-in-schools--2" TargetMode="External"/><Relationship Id="rId20" Type="http://schemas.openxmlformats.org/officeDocument/2006/relationships/hyperlink" Target="https://www.equalityhumanrights.com/en/advice-and-guidance?who=public-s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eagainsthate.com/wp-content/uploads/2019/01/6.4953_DFE_Respectful-schools_signposting-tool_FINAL_Fillable_Client_Cop....pdf" TargetMode="External"/><Relationship Id="rId24" Type="http://schemas.openxmlformats.org/officeDocument/2006/relationships/hyperlink" Target="https://jigsawlivestcmsuk.blob.core.windows.net/umbraco-media/jsafsdwf/jigsaw-3-11-and-rshe-overview-map.pdf" TargetMode="External"/><Relationship Id="rId5" Type="http://schemas.openxmlformats.org/officeDocument/2006/relationships/webSettings" Target="webSettings.xml"/><Relationship Id="rId15" Type="http://schemas.openxmlformats.org/officeDocument/2006/relationships/hyperlink" Target="https://www.gov.uk/government/publications/alternative-provision" TargetMode="External"/><Relationship Id="rId23" Type="http://schemas.openxmlformats.org/officeDocument/2006/relationships/hyperlink" Target="https://jigsawlivestcmsuk.blob.core.windows.net/umbraco-media/srdphyqb/jigsaw-making-connections.pdf" TargetMode="External"/><Relationship Id="rId28"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reventing-and-tackling-bullying" TargetMode="External"/><Relationship Id="rId4" Type="http://schemas.openxmlformats.org/officeDocument/2006/relationships/settings" Target="settings.xml"/><Relationship Id="rId9" Type="http://schemas.openxmlformats.org/officeDocument/2006/relationships/hyperlink" Target="https://jigsawlivestcmsuk.blob.core.windows.net/umbraco-media/jsafsdwf/jigsaw-3-11-and-rshe-overview-map.pdf"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hyperlink" Target="https://www.gov.uk/government/publications/regulating-independent-school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9AB2-B993-453F-89A8-248E4AEE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5588</Words>
  <Characters>31857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Stuart Evans</cp:lastModifiedBy>
  <cp:revision>2</cp:revision>
  <dcterms:created xsi:type="dcterms:W3CDTF">2024-05-21T09:52:00Z</dcterms:created>
  <dcterms:modified xsi:type="dcterms:W3CDTF">2024-05-21T09:52:00Z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